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C33" w:rsidRPr="00F77D45" w:rsidRDefault="00631C33" w:rsidP="00631C33">
      <w:pPr>
        <w:rPr>
          <w:sz w:val="24"/>
          <w:szCs w:val="24"/>
        </w:rPr>
      </w:pPr>
      <w:r>
        <w:rPr>
          <w:b/>
        </w:rPr>
        <w:tab/>
      </w:r>
      <w:r>
        <w:rPr>
          <w:b/>
        </w:rPr>
        <w:tab/>
      </w:r>
      <w:r>
        <w:rPr>
          <w:b/>
        </w:rPr>
        <w:tab/>
      </w:r>
      <w:r>
        <w:rPr>
          <w:noProof/>
          <w:lang w:val="es-CL"/>
        </w:rPr>
        <w:drawing>
          <wp:anchor distT="0" distB="0" distL="114300" distR="114300" simplePos="0" relativeHeight="251674624" behindDoc="1" locked="0" layoutInCell="1" allowOverlap="1" wp14:anchorId="51E218B8" wp14:editId="69DB2548">
            <wp:simplePos x="0" y="0"/>
            <wp:positionH relativeFrom="column">
              <wp:posOffset>-108585</wp:posOffset>
            </wp:positionH>
            <wp:positionV relativeFrom="paragraph">
              <wp:posOffset>-12065</wp:posOffset>
            </wp:positionV>
            <wp:extent cx="1104900" cy="441960"/>
            <wp:effectExtent l="0" t="0" r="0" b="0"/>
            <wp:wrapTight wrapText="bothSides">
              <wp:wrapPolygon edited="0">
                <wp:start x="0" y="0"/>
                <wp:lineTo x="0" y="20483"/>
                <wp:lineTo x="21228" y="20483"/>
                <wp:lineTo x="21228" y="0"/>
                <wp:lineTo x="0" y="0"/>
              </wp:wrapPolygon>
            </wp:wrapTight>
            <wp:docPr id="3" name="Imagen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441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1C33" w:rsidRPr="00DA1390" w:rsidRDefault="00631C33" w:rsidP="00631C33">
      <w:pPr>
        <w:tabs>
          <w:tab w:val="center" w:pos="4252"/>
          <w:tab w:val="left" w:pos="7305"/>
        </w:tabs>
        <w:jc w:val="center"/>
        <w:rPr>
          <w:b/>
          <w:u w:val="single"/>
        </w:rPr>
      </w:pPr>
    </w:p>
    <w:p w:rsidR="00631C33" w:rsidRPr="00DA1390" w:rsidRDefault="00631C33" w:rsidP="00631C33">
      <w:pPr>
        <w:autoSpaceDE w:val="0"/>
        <w:autoSpaceDN w:val="0"/>
        <w:adjustRightInd w:val="0"/>
        <w:spacing w:line="276" w:lineRule="auto"/>
        <w:jc w:val="center"/>
        <w:rPr>
          <w:b/>
          <w:sz w:val="24"/>
          <w:szCs w:val="24"/>
          <w:u w:val="single"/>
        </w:rPr>
      </w:pPr>
    </w:p>
    <w:p w:rsidR="00631C33" w:rsidRPr="00631C33" w:rsidRDefault="00631C33" w:rsidP="00631C33">
      <w:pPr>
        <w:autoSpaceDE w:val="0"/>
        <w:autoSpaceDN w:val="0"/>
        <w:adjustRightInd w:val="0"/>
        <w:spacing w:line="276" w:lineRule="auto"/>
        <w:jc w:val="center"/>
        <w:rPr>
          <w:rFonts w:ascii="Times New Roman" w:hAnsi="Times New Roman" w:cs="Times New Roman"/>
          <w:b/>
          <w:sz w:val="24"/>
          <w:szCs w:val="24"/>
          <w:u w:val="single"/>
        </w:rPr>
      </w:pPr>
      <w:r w:rsidRPr="00631C33">
        <w:rPr>
          <w:rFonts w:ascii="Times New Roman" w:hAnsi="Times New Roman" w:cs="Times New Roman"/>
          <w:b/>
          <w:sz w:val="24"/>
          <w:szCs w:val="24"/>
          <w:u w:val="single"/>
        </w:rPr>
        <w:t xml:space="preserve">INFORMACIÓN PARA PACIENTES: </w:t>
      </w:r>
    </w:p>
    <w:p w:rsidR="00631C33" w:rsidRPr="00631C33" w:rsidRDefault="00631C33" w:rsidP="00631C33">
      <w:pPr>
        <w:autoSpaceDE w:val="0"/>
        <w:autoSpaceDN w:val="0"/>
        <w:adjustRightInd w:val="0"/>
        <w:spacing w:line="276" w:lineRule="auto"/>
        <w:jc w:val="center"/>
        <w:rPr>
          <w:rFonts w:ascii="Times New Roman" w:eastAsia="Calibri" w:hAnsi="Times New Roman" w:cs="Times New Roman"/>
          <w:b/>
          <w:bCs/>
          <w:sz w:val="24"/>
          <w:szCs w:val="24"/>
          <w:u w:val="single"/>
          <w:lang w:val="es-CL" w:eastAsia="en-US"/>
        </w:rPr>
      </w:pPr>
      <w:r w:rsidRPr="00631C33">
        <w:rPr>
          <w:rFonts w:ascii="Times New Roman" w:hAnsi="Times New Roman" w:cs="Times New Roman"/>
          <w:b/>
          <w:sz w:val="24"/>
          <w:szCs w:val="24"/>
          <w:u w:val="single"/>
        </w:rPr>
        <w:t>“</w:t>
      </w:r>
      <w:r w:rsidRPr="00631C33">
        <w:rPr>
          <w:rFonts w:ascii="Times New Roman" w:hAnsi="Times New Roman" w:cs="Times New Roman"/>
          <w:b/>
          <w:sz w:val="24"/>
          <w:szCs w:val="24"/>
          <w:u w:val="single"/>
        </w:rPr>
        <w:t>SUBMAXILECTOMÍA</w:t>
      </w:r>
      <w:r w:rsidRPr="00631C33">
        <w:rPr>
          <w:rFonts w:ascii="Times New Roman" w:hAnsi="Times New Roman" w:cs="Times New Roman"/>
          <w:b/>
          <w:sz w:val="24"/>
          <w:szCs w:val="24"/>
          <w:u w:val="single"/>
        </w:rPr>
        <w:t>”</w:t>
      </w:r>
    </w:p>
    <w:p w:rsidR="00631C33" w:rsidRPr="00100F7F" w:rsidRDefault="00631C33" w:rsidP="00631C33">
      <w:pPr>
        <w:autoSpaceDE w:val="0"/>
        <w:autoSpaceDN w:val="0"/>
        <w:adjustRightInd w:val="0"/>
        <w:spacing w:line="276" w:lineRule="auto"/>
        <w:jc w:val="center"/>
        <w:rPr>
          <w:rFonts w:ascii="Times New Roman" w:eastAsia="Calibri" w:hAnsi="Times New Roman" w:cs="Times New Roman"/>
          <w:b/>
          <w:bCs/>
          <w:sz w:val="24"/>
          <w:szCs w:val="24"/>
          <w:u w:val="single"/>
          <w:lang w:val="es-CL" w:eastAsia="en-US"/>
        </w:rPr>
      </w:pPr>
    </w:p>
    <w:p w:rsidR="00631C33" w:rsidRPr="00ED2F09" w:rsidRDefault="00631C33" w:rsidP="00631C33">
      <w:pPr>
        <w:autoSpaceDE w:val="0"/>
        <w:autoSpaceDN w:val="0"/>
        <w:adjustRightInd w:val="0"/>
        <w:jc w:val="both"/>
        <w:rPr>
          <w:rFonts w:ascii="Times New Roman" w:hAnsi="Times New Roman" w:cs="Times New Roman"/>
          <w:b/>
          <w:sz w:val="24"/>
          <w:szCs w:val="24"/>
        </w:rPr>
      </w:pPr>
    </w:p>
    <w:p w:rsidR="00631C33" w:rsidRPr="00631C33" w:rsidRDefault="00631C33" w:rsidP="00631C33">
      <w:pPr>
        <w:jc w:val="both"/>
        <w:rPr>
          <w:rFonts w:ascii="Times New Roman" w:hAnsi="Times New Roman" w:cs="Times New Roman"/>
          <w:sz w:val="24"/>
          <w:szCs w:val="24"/>
        </w:rPr>
      </w:pPr>
      <w:r w:rsidRPr="00631C33">
        <w:rPr>
          <w:rFonts w:ascii="Times New Roman" w:hAnsi="Times New Roman" w:cs="Times New Roman"/>
          <w:sz w:val="24"/>
          <w:szCs w:val="24"/>
        </w:rPr>
        <w:t>El presente documento permite entregar información al paciente respecto a la cirugía específica  a realizar,  por lo que NO CONSTITUYE  EL CONSENTIMIENTO INFORMADO.</w:t>
      </w:r>
    </w:p>
    <w:p w:rsidR="00631C33" w:rsidRPr="00631C33" w:rsidRDefault="00631C33" w:rsidP="00631C33">
      <w:pPr>
        <w:jc w:val="both"/>
        <w:rPr>
          <w:rFonts w:ascii="Times New Roman" w:hAnsi="Times New Roman" w:cs="Times New Roman"/>
          <w:sz w:val="24"/>
          <w:szCs w:val="24"/>
        </w:rPr>
      </w:pPr>
    </w:p>
    <w:p w:rsidR="00631C33" w:rsidRPr="00631C33" w:rsidRDefault="00631C33" w:rsidP="00631C33">
      <w:pPr>
        <w:tabs>
          <w:tab w:val="left" w:pos="3135"/>
        </w:tabs>
        <w:jc w:val="both"/>
        <w:rPr>
          <w:rStyle w:val="Hipervnculo"/>
          <w:rFonts w:ascii="Times New Roman" w:hAnsi="Times New Roman" w:cs="Times New Roman"/>
          <w:b/>
          <w:i/>
          <w:color w:val="auto"/>
          <w:sz w:val="24"/>
          <w:szCs w:val="24"/>
        </w:rPr>
      </w:pPr>
      <w:r w:rsidRPr="00631C33">
        <w:rPr>
          <w:rFonts w:ascii="Times New Roman" w:hAnsi="Times New Roman" w:cs="Times New Roman"/>
          <w:sz w:val="24"/>
          <w:szCs w:val="24"/>
        </w:rPr>
        <w:t xml:space="preserve">El  CONSENTIMIENTO INFORMADO, debe ser  llenado en el formulario en  la página web: www.hospitalcurico.cl,  en el enlace: </w:t>
      </w:r>
      <w:hyperlink r:id="rId7" w:history="1">
        <w:r w:rsidRPr="00631C33">
          <w:rPr>
            <w:rStyle w:val="Hipervnculo"/>
            <w:rFonts w:ascii="Times New Roman" w:hAnsi="Times New Roman" w:cs="Times New Roman"/>
            <w:b/>
            <w:i/>
            <w:color w:val="auto"/>
            <w:sz w:val="24"/>
            <w:szCs w:val="24"/>
          </w:rPr>
          <w:t>https://intranet.hospitalcurico.cl/projects/consentimiento</w:t>
        </w:r>
      </w:hyperlink>
    </w:p>
    <w:p w:rsidR="009F20A1" w:rsidRPr="00631C33" w:rsidRDefault="009F20A1" w:rsidP="00631C33">
      <w:pPr>
        <w:jc w:val="center"/>
        <w:rPr>
          <w:rFonts w:ascii="Times New Roman" w:hAnsi="Times New Roman" w:cs="Times New Roman"/>
          <w:b/>
          <w:sz w:val="24"/>
          <w:szCs w:val="24"/>
        </w:rPr>
      </w:pPr>
    </w:p>
    <w:p w:rsidR="009F20A1" w:rsidRPr="00631C33" w:rsidRDefault="009F20A1" w:rsidP="00631C33">
      <w:pPr>
        <w:rPr>
          <w:sz w:val="24"/>
          <w:szCs w:val="24"/>
        </w:rPr>
      </w:pPr>
    </w:p>
    <w:p w:rsidR="000021F2" w:rsidRPr="00631C33" w:rsidRDefault="00A10397" w:rsidP="00631C33">
      <w:pPr>
        <w:jc w:val="both"/>
        <w:rPr>
          <w:rFonts w:ascii="Times New Roman" w:hAnsi="Times New Roman" w:cs="Times New Roman"/>
          <w:b/>
          <w:sz w:val="24"/>
          <w:szCs w:val="24"/>
        </w:rPr>
      </w:pPr>
      <w:r w:rsidRPr="00631C33">
        <w:rPr>
          <w:rFonts w:ascii="Times New Roman" w:hAnsi="Times New Roman" w:cs="Times New Roman"/>
          <w:b/>
          <w:sz w:val="24"/>
          <w:szCs w:val="24"/>
        </w:rPr>
        <w:t>Objetivo</w:t>
      </w:r>
      <w:r w:rsidR="000021F2" w:rsidRPr="00631C33">
        <w:rPr>
          <w:rFonts w:ascii="Times New Roman" w:hAnsi="Times New Roman" w:cs="Times New Roman"/>
          <w:b/>
          <w:sz w:val="24"/>
          <w:szCs w:val="24"/>
        </w:rPr>
        <w:t xml:space="preserve"> del procedimiento:</w:t>
      </w:r>
    </w:p>
    <w:p w:rsidR="009F20A1" w:rsidRPr="00631C33" w:rsidRDefault="001F1FA8" w:rsidP="00631C33">
      <w:pPr>
        <w:jc w:val="both"/>
        <w:rPr>
          <w:rFonts w:ascii="Times New Roman" w:hAnsi="Times New Roman" w:cs="Times New Roman"/>
          <w:sz w:val="24"/>
          <w:szCs w:val="24"/>
        </w:rPr>
      </w:pPr>
      <w:r w:rsidRPr="00631C33">
        <w:rPr>
          <w:rFonts w:ascii="Times New Roman" w:hAnsi="Times New Roman" w:cs="Times New Roman"/>
          <w:sz w:val="24"/>
          <w:szCs w:val="24"/>
          <w:lang w:val="es-CL"/>
        </w:rPr>
        <w:t>El objetivo de la intervención quirúrgica denominada</w:t>
      </w:r>
      <w:r w:rsidR="002F1A03" w:rsidRPr="00631C33">
        <w:rPr>
          <w:rFonts w:ascii="Times New Roman" w:hAnsi="Times New Roman" w:cs="Times New Roman"/>
          <w:sz w:val="24"/>
          <w:szCs w:val="24"/>
          <w:lang w:val="es-CL"/>
        </w:rPr>
        <w:t xml:space="preserve"> </w:t>
      </w:r>
      <w:r w:rsidRPr="00631C33">
        <w:rPr>
          <w:rFonts w:ascii="Times New Roman" w:hAnsi="Times New Roman" w:cs="Times New Roman"/>
          <w:sz w:val="24"/>
          <w:szCs w:val="24"/>
          <w:lang w:val="es-CL"/>
        </w:rPr>
        <w:t>“</w:t>
      </w:r>
      <w:proofErr w:type="spellStart"/>
      <w:r w:rsidR="002F1A03" w:rsidRPr="00631C33">
        <w:rPr>
          <w:rFonts w:ascii="Times New Roman" w:hAnsi="Times New Roman" w:cs="Times New Roman"/>
          <w:sz w:val="24"/>
          <w:szCs w:val="24"/>
          <w:lang w:val="es-CL"/>
        </w:rPr>
        <w:t>submaxilectomía</w:t>
      </w:r>
      <w:proofErr w:type="spellEnd"/>
      <w:r w:rsidRPr="00631C33">
        <w:rPr>
          <w:rFonts w:ascii="Times New Roman" w:hAnsi="Times New Roman" w:cs="Times New Roman"/>
          <w:sz w:val="24"/>
          <w:szCs w:val="24"/>
          <w:lang w:val="es-CL"/>
        </w:rPr>
        <w:t>”</w:t>
      </w:r>
      <w:r w:rsidR="002F1A03" w:rsidRPr="00631C33">
        <w:rPr>
          <w:rFonts w:ascii="Times New Roman" w:hAnsi="Times New Roman" w:cs="Times New Roman"/>
          <w:sz w:val="24"/>
          <w:szCs w:val="24"/>
          <w:lang w:val="es-CL"/>
        </w:rPr>
        <w:t xml:space="preserve"> es la extirpación total de la glándula submaxilar</w:t>
      </w:r>
      <w:r w:rsidR="00E02B1F" w:rsidRPr="00631C33">
        <w:rPr>
          <w:rFonts w:ascii="Times New Roman" w:hAnsi="Times New Roman" w:cs="Times New Roman"/>
          <w:sz w:val="24"/>
          <w:szCs w:val="24"/>
          <w:lang w:val="es-CL"/>
        </w:rPr>
        <w:t xml:space="preserve"> (productora de saliva)</w:t>
      </w:r>
      <w:r w:rsidR="002F1A03" w:rsidRPr="00631C33">
        <w:rPr>
          <w:rFonts w:ascii="Times New Roman" w:hAnsi="Times New Roman" w:cs="Times New Roman"/>
          <w:sz w:val="24"/>
          <w:szCs w:val="24"/>
          <w:lang w:val="es-CL"/>
        </w:rPr>
        <w:t>, situada</w:t>
      </w:r>
      <w:r w:rsidR="00E02B1F" w:rsidRPr="00631C33">
        <w:rPr>
          <w:rFonts w:ascii="Times New Roman" w:hAnsi="Times New Roman" w:cs="Times New Roman"/>
          <w:sz w:val="24"/>
          <w:szCs w:val="24"/>
          <w:lang w:val="es-CL"/>
        </w:rPr>
        <w:t xml:space="preserve"> en la parte lateral del cuello,</w:t>
      </w:r>
      <w:r w:rsidR="002F1A03" w:rsidRPr="00631C33">
        <w:rPr>
          <w:rFonts w:ascii="Times New Roman" w:hAnsi="Times New Roman" w:cs="Times New Roman"/>
          <w:sz w:val="24"/>
          <w:szCs w:val="24"/>
          <w:lang w:val="es-CL"/>
        </w:rPr>
        <w:t xml:space="preserve"> </w:t>
      </w:r>
      <w:r w:rsidR="00E02B1F" w:rsidRPr="00631C33">
        <w:rPr>
          <w:rFonts w:ascii="Times New Roman" w:hAnsi="Times New Roman" w:cs="Times New Roman"/>
          <w:sz w:val="24"/>
          <w:szCs w:val="24"/>
          <w:lang w:val="es-CL"/>
        </w:rPr>
        <w:t xml:space="preserve">detrás del hueso de la mandíbula (figura 1). </w:t>
      </w:r>
      <w:r w:rsidR="002F1A03" w:rsidRPr="00631C33">
        <w:rPr>
          <w:rFonts w:ascii="Times New Roman" w:hAnsi="Times New Roman" w:cs="Times New Roman"/>
          <w:sz w:val="24"/>
          <w:szCs w:val="24"/>
          <w:lang w:val="es-CL"/>
        </w:rPr>
        <w:t xml:space="preserve">La cirugía suele estar indicada en caso de inflamación crónica de la glándula por cálculos en su interior o por dificultad en </w:t>
      </w:r>
      <w:r w:rsidR="00E02B1F" w:rsidRPr="00631C33">
        <w:rPr>
          <w:rFonts w:ascii="Times New Roman" w:hAnsi="Times New Roman" w:cs="Times New Roman"/>
          <w:sz w:val="24"/>
          <w:szCs w:val="24"/>
          <w:lang w:val="es-CL"/>
        </w:rPr>
        <w:t>la salida</w:t>
      </w:r>
      <w:r w:rsidR="002F1A03" w:rsidRPr="00631C33">
        <w:rPr>
          <w:rFonts w:ascii="Times New Roman" w:hAnsi="Times New Roman" w:cs="Times New Roman"/>
          <w:sz w:val="24"/>
          <w:szCs w:val="24"/>
          <w:lang w:val="es-CL"/>
        </w:rPr>
        <w:t xml:space="preserve"> de  la  saliva o bien, porque dentro de la misma se desarrolle un tumor de características benignas o malignas que re</w:t>
      </w:r>
      <w:r w:rsidR="00E02B1F" w:rsidRPr="00631C33">
        <w:rPr>
          <w:rFonts w:ascii="Times New Roman" w:hAnsi="Times New Roman" w:cs="Times New Roman"/>
          <w:sz w:val="24"/>
          <w:szCs w:val="24"/>
          <w:lang w:val="es-CL"/>
        </w:rPr>
        <w:t>quiera estudio mediante una biopsia</w:t>
      </w:r>
      <w:r w:rsidR="009F20A1" w:rsidRPr="00631C33">
        <w:rPr>
          <w:rFonts w:ascii="Times New Roman" w:hAnsi="Times New Roman" w:cs="Times New Roman"/>
          <w:sz w:val="24"/>
          <w:szCs w:val="24"/>
        </w:rPr>
        <w:t xml:space="preserve"> </w:t>
      </w:r>
    </w:p>
    <w:p w:rsidR="00E26787" w:rsidRPr="00631C33" w:rsidRDefault="00E26787" w:rsidP="00631C33">
      <w:pPr>
        <w:jc w:val="both"/>
        <w:rPr>
          <w:rFonts w:ascii="Times New Roman" w:hAnsi="Times New Roman" w:cs="Times New Roman"/>
          <w:sz w:val="24"/>
          <w:szCs w:val="24"/>
        </w:rPr>
      </w:pPr>
    </w:p>
    <w:p w:rsidR="009F20A1" w:rsidRDefault="00283CBD" w:rsidP="00631C33">
      <w:pPr>
        <w:jc w:val="both"/>
        <w:rPr>
          <w:rFonts w:ascii="Times New Roman" w:hAnsi="Times New Roman" w:cs="Times New Roman"/>
          <w:sz w:val="24"/>
          <w:szCs w:val="24"/>
        </w:rPr>
      </w:pPr>
      <w:r w:rsidRPr="00631C33">
        <w:rPr>
          <w:rFonts w:ascii="Times New Roman" w:hAnsi="Times New Roman" w:cs="Times New Roman"/>
          <w:sz w:val="24"/>
          <w:szCs w:val="24"/>
        </w:rPr>
        <w:t>Figura 1:</w:t>
      </w:r>
    </w:p>
    <w:p w:rsidR="00E029BB" w:rsidRPr="00631C33" w:rsidRDefault="00E029BB" w:rsidP="00631C33">
      <w:pPr>
        <w:jc w:val="both"/>
        <w:rPr>
          <w:rFonts w:ascii="Times New Roman" w:hAnsi="Times New Roman" w:cs="Times New Roman"/>
          <w:sz w:val="24"/>
          <w:szCs w:val="24"/>
        </w:rPr>
      </w:pPr>
    </w:p>
    <w:p w:rsidR="000021F2" w:rsidRPr="00631C33" w:rsidRDefault="00E26787" w:rsidP="00631C33">
      <w:pPr>
        <w:jc w:val="both"/>
        <w:rPr>
          <w:rFonts w:ascii="Times New Roman" w:hAnsi="Times New Roman" w:cs="Times New Roman"/>
          <w:b/>
          <w:sz w:val="24"/>
          <w:szCs w:val="24"/>
        </w:rPr>
      </w:pPr>
      <w:r w:rsidRPr="00631C33">
        <w:rPr>
          <w:noProof/>
          <w:sz w:val="24"/>
          <w:szCs w:val="24"/>
          <w:lang w:val="es-CL"/>
        </w:rPr>
        <w:drawing>
          <wp:anchor distT="0" distB="0" distL="114300" distR="114300" simplePos="0" relativeHeight="251666432" behindDoc="1" locked="0" layoutInCell="1" allowOverlap="1" wp14:anchorId="4D5A5A63" wp14:editId="1E4A5837">
            <wp:simplePos x="0" y="0"/>
            <wp:positionH relativeFrom="column">
              <wp:posOffset>-3810</wp:posOffset>
            </wp:positionH>
            <wp:positionV relativeFrom="paragraph">
              <wp:posOffset>-8255</wp:posOffset>
            </wp:positionV>
            <wp:extent cx="3038475" cy="2076450"/>
            <wp:effectExtent l="0" t="0" r="9525" b="0"/>
            <wp:wrapTight wrapText="bothSides">
              <wp:wrapPolygon edited="0">
                <wp:start x="0" y="0"/>
                <wp:lineTo x="0" y="21402"/>
                <wp:lineTo x="21532" y="21402"/>
                <wp:lineTo x="21532" y="0"/>
                <wp:lineTo x="0" y="0"/>
              </wp:wrapPolygon>
            </wp:wrapTight>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8475"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000021F2" w:rsidRPr="00631C33">
        <w:rPr>
          <w:rFonts w:ascii="Times New Roman" w:hAnsi="Times New Roman" w:cs="Times New Roman"/>
          <w:b/>
          <w:sz w:val="24"/>
          <w:szCs w:val="24"/>
        </w:rPr>
        <w:t>Descripci</w:t>
      </w:r>
      <w:r w:rsidR="003701E3" w:rsidRPr="00631C33">
        <w:rPr>
          <w:rFonts w:ascii="Times New Roman" w:hAnsi="Times New Roman" w:cs="Times New Roman"/>
          <w:b/>
          <w:sz w:val="24"/>
          <w:szCs w:val="24"/>
        </w:rPr>
        <w:t>ón</w:t>
      </w:r>
      <w:r w:rsidR="000021F2" w:rsidRPr="00631C33">
        <w:rPr>
          <w:rFonts w:ascii="Times New Roman" w:hAnsi="Times New Roman" w:cs="Times New Roman"/>
          <w:b/>
          <w:sz w:val="24"/>
          <w:szCs w:val="24"/>
        </w:rPr>
        <w:t xml:space="preserve"> del procedimiento:</w:t>
      </w:r>
    </w:p>
    <w:p w:rsidR="003701E3" w:rsidRPr="00631C33" w:rsidRDefault="00A10397" w:rsidP="00631C33">
      <w:pPr>
        <w:jc w:val="both"/>
        <w:rPr>
          <w:rFonts w:ascii="Times New Roman" w:hAnsi="Times New Roman" w:cs="Times New Roman"/>
          <w:sz w:val="24"/>
          <w:szCs w:val="24"/>
          <w:lang w:val="es-CL"/>
        </w:rPr>
      </w:pPr>
      <w:r w:rsidRPr="00631C33">
        <w:rPr>
          <w:rFonts w:ascii="Times New Roman" w:hAnsi="Times New Roman" w:cs="Times New Roman"/>
          <w:sz w:val="24"/>
          <w:szCs w:val="24"/>
          <w:lang w:val="es-CL"/>
        </w:rPr>
        <w:t>La incisión</w:t>
      </w:r>
      <w:r w:rsidR="00A1276A" w:rsidRPr="00631C33">
        <w:rPr>
          <w:rFonts w:ascii="Times New Roman" w:hAnsi="Times New Roman" w:cs="Times New Roman"/>
          <w:sz w:val="24"/>
          <w:szCs w:val="24"/>
          <w:lang w:val="es-CL"/>
        </w:rPr>
        <w:t xml:space="preserve"> es de aproximadamente </w:t>
      </w:r>
      <w:smartTag w:uri="urn:schemas-microsoft-com:office:smarttags" w:element="metricconverter">
        <w:smartTagPr>
          <w:attr w:name="ProductID" w:val="5 cm"/>
        </w:smartTagPr>
        <w:r w:rsidR="00A1276A" w:rsidRPr="00631C33">
          <w:rPr>
            <w:rFonts w:ascii="Times New Roman" w:hAnsi="Times New Roman" w:cs="Times New Roman"/>
            <w:sz w:val="24"/>
            <w:szCs w:val="24"/>
            <w:lang w:val="es-CL"/>
          </w:rPr>
          <w:t>5</w:t>
        </w:r>
        <w:r w:rsidR="0078442E" w:rsidRPr="00631C33">
          <w:rPr>
            <w:rFonts w:ascii="Times New Roman" w:hAnsi="Times New Roman" w:cs="Times New Roman"/>
            <w:sz w:val="24"/>
            <w:szCs w:val="24"/>
            <w:lang w:val="es-CL"/>
          </w:rPr>
          <w:t xml:space="preserve"> cm</w:t>
        </w:r>
      </w:smartTag>
      <w:r w:rsidR="0078442E" w:rsidRPr="00631C33">
        <w:rPr>
          <w:rFonts w:ascii="Times New Roman" w:hAnsi="Times New Roman" w:cs="Times New Roman"/>
          <w:sz w:val="24"/>
          <w:szCs w:val="24"/>
          <w:lang w:val="es-CL"/>
        </w:rPr>
        <w:t>. y</w:t>
      </w:r>
      <w:r w:rsidRPr="00631C33">
        <w:rPr>
          <w:rFonts w:ascii="Times New Roman" w:hAnsi="Times New Roman" w:cs="Times New Roman"/>
          <w:sz w:val="24"/>
          <w:szCs w:val="24"/>
          <w:lang w:val="es-CL"/>
        </w:rPr>
        <w:t xml:space="preserve"> se realiza </w:t>
      </w:r>
      <w:r w:rsidR="0078442E" w:rsidRPr="00631C33">
        <w:rPr>
          <w:rFonts w:ascii="Times New Roman" w:hAnsi="Times New Roman" w:cs="Times New Roman"/>
          <w:sz w:val="24"/>
          <w:szCs w:val="24"/>
          <w:lang w:val="es-CL"/>
        </w:rPr>
        <w:t>en la piel del cuello, de manera horizontal por debajo del borde de la mandíbula</w:t>
      </w:r>
      <w:r w:rsidRPr="00631C33">
        <w:rPr>
          <w:rFonts w:ascii="Times New Roman" w:hAnsi="Times New Roman" w:cs="Times New Roman"/>
          <w:sz w:val="24"/>
          <w:szCs w:val="24"/>
          <w:lang w:val="es-CL"/>
        </w:rPr>
        <w:t xml:space="preserve">, </w:t>
      </w:r>
      <w:r w:rsidR="00A1276A" w:rsidRPr="00631C33">
        <w:rPr>
          <w:rFonts w:ascii="Times New Roman" w:hAnsi="Times New Roman" w:cs="Times New Roman"/>
          <w:sz w:val="24"/>
          <w:szCs w:val="24"/>
          <w:lang w:val="es-CL"/>
        </w:rPr>
        <w:t xml:space="preserve">por </w:t>
      </w:r>
      <w:r w:rsidRPr="00631C33">
        <w:rPr>
          <w:rFonts w:ascii="Times New Roman" w:hAnsi="Times New Roman" w:cs="Times New Roman"/>
          <w:sz w:val="24"/>
          <w:szCs w:val="24"/>
          <w:lang w:val="es-CL"/>
        </w:rPr>
        <w:t xml:space="preserve">encima de la </w:t>
      </w:r>
      <w:r w:rsidR="00A1276A" w:rsidRPr="00631C33">
        <w:rPr>
          <w:rFonts w:ascii="Times New Roman" w:hAnsi="Times New Roman" w:cs="Times New Roman"/>
          <w:sz w:val="24"/>
          <w:szCs w:val="24"/>
          <w:lang w:val="es-CL"/>
        </w:rPr>
        <w:t>zona donde está ubicada la glándula submaxilar. La línea de puntos en la figura 2 representa el corte que se realiza, generalmente</w:t>
      </w:r>
      <w:r w:rsidRPr="00631C33">
        <w:rPr>
          <w:rFonts w:ascii="Times New Roman" w:hAnsi="Times New Roman" w:cs="Times New Roman"/>
          <w:sz w:val="24"/>
          <w:szCs w:val="24"/>
          <w:lang w:val="es-CL"/>
        </w:rPr>
        <w:t xml:space="preserve"> utilizando un pliegue del cuello para disimular la cicatriz.</w:t>
      </w:r>
    </w:p>
    <w:p w:rsidR="0037349F" w:rsidRPr="00631C33" w:rsidRDefault="00F60B60" w:rsidP="00631C33">
      <w:pPr>
        <w:jc w:val="both"/>
        <w:rPr>
          <w:rFonts w:ascii="Times New Roman" w:hAnsi="Times New Roman" w:cs="Times New Roman"/>
          <w:sz w:val="24"/>
          <w:szCs w:val="24"/>
        </w:rPr>
      </w:pPr>
      <w:r w:rsidRPr="00631C33">
        <w:rPr>
          <w:rFonts w:ascii="Times New Roman" w:hAnsi="Times New Roman" w:cs="Times New Roman"/>
          <w:sz w:val="24"/>
          <w:szCs w:val="24"/>
        </w:rPr>
        <w:t>A través de esta herida se procede a extraer la glándula y luego se sutura dejando un tubo plástico que sale desde la zona operada para que el líquido que se produce en ella pueda ser eliminado hacia el exterior. Este tubo llamado “drenaje”, se mantiene por 2 ó 3 d</w:t>
      </w:r>
      <w:r w:rsidR="00232A32" w:rsidRPr="00631C33">
        <w:rPr>
          <w:rFonts w:ascii="Times New Roman" w:hAnsi="Times New Roman" w:cs="Times New Roman"/>
          <w:sz w:val="24"/>
          <w:szCs w:val="24"/>
        </w:rPr>
        <w:t>ías y se retira antes de ser dado de alta desde el hospital.</w:t>
      </w:r>
      <w:r w:rsidR="00F804EB" w:rsidRPr="00631C33">
        <w:rPr>
          <w:rFonts w:ascii="Times New Roman" w:hAnsi="Times New Roman" w:cs="Times New Roman"/>
          <w:sz w:val="24"/>
          <w:szCs w:val="24"/>
        </w:rPr>
        <w:t xml:space="preserve"> Los puntos de sutura se retiran entre 5 y 7 días después.</w:t>
      </w:r>
    </w:p>
    <w:p w:rsidR="0037349F" w:rsidRPr="00631C33" w:rsidRDefault="0037349F" w:rsidP="00631C33">
      <w:pPr>
        <w:jc w:val="both"/>
        <w:rPr>
          <w:rFonts w:ascii="Times New Roman" w:hAnsi="Times New Roman" w:cs="Times New Roman"/>
          <w:sz w:val="24"/>
          <w:szCs w:val="24"/>
        </w:rPr>
      </w:pPr>
    </w:p>
    <w:p w:rsidR="00232A32" w:rsidRPr="00631C33" w:rsidRDefault="00232A32" w:rsidP="00631C33">
      <w:pPr>
        <w:jc w:val="both"/>
        <w:rPr>
          <w:rFonts w:ascii="Times New Roman" w:hAnsi="Times New Roman" w:cs="Times New Roman"/>
          <w:sz w:val="24"/>
          <w:szCs w:val="24"/>
        </w:rPr>
      </w:pPr>
    </w:p>
    <w:p w:rsidR="00F33644" w:rsidRPr="00631C33" w:rsidRDefault="00F33644" w:rsidP="00631C33">
      <w:pPr>
        <w:jc w:val="both"/>
        <w:rPr>
          <w:rFonts w:ascii="Times New Roman" w:hAnsi="Times New Roman" w:cs="Times New Roman"/>
          <w:sz w:val="24"/>
          <w:szCs w:val="24"/>
        </w:rPr>
      </w:pPr>
    </w:p>
    <w:p w:rsidR="00F33644" w:rsidRDefault="00F33644" w:rsidP="00631C33">
      <w:pPr>
        <w:jc w:val="both"/>
        <w:rPr>
          <w:rFonts w:ascii="Times New Roman" w:hAnsi="Times New Roman" w:cs="Times New Roman"/>
          <w:sz w:val="24"/>
          <w:szCs w:val="24"/>
        </w:rPr>
      </w:pPr>
    </w:p>
    <w:p w:rsidR="00631C33" w:rsidRPr="00631C33" w:rsidRDefault="00631C33" w:rsidP="00631C33">
      <w:pPr>
        <w:jc w:val="both"/>
        <w:rPr>
          <w:rFonts w:ascii="Times New Roman" w:hAnsi="Times New Roman" w:cs="Times New Roman"/>
          <w:sz w:val="24"/>
          <w:szCs w:val="24"/>
        </w:rPr>
      </w:pPr>
    </w:p>
    <w:p w:rsidR="00F33644" w:rsidRPr="00631C33" w:rsidRDefault="00F33644" w:rsidP="00631C33">
      <w:pPr>
        <w:jc w:val="both"/>
        <w:rPr>
          <w:rFonts w:ascii="Times New Roman" w:hAnsi="Times New Roman" w:cs="Times New Roman"/>
          <w:sz w:val="24"/>
          <w:szCs w:val="24"/>
        </w:rPr>
      </w:pPr>
    </w:p>
    <w:p w:rsidR="00F33644" w:rsidRPr="00631C33" w:rsidRDefault="00F33644" w:rsidP="00631C33">
      <w:pPr>
        <w:jc w:val="both"/>
        <w:rPr>
          <w:rFonts w:ascii="Times New Roman" w:hAnsi="Times New Roman" w:cs="Times New Roman"/>
          <w:sz w:val="24"/>
          <w:szCs w:val="24"/>
        </w:rPr>
      </w:pPr>
    </w:p>
    <w:p w:rsidR="00F33644" w:rsidRPr="00631C33" w:rsidRDefault="00F33644" w:rsidP="00631C33">
      <w:pPr>
        <w:jc w:val="both"/>
        <w:rPr>
          <w:rFonts w:ascii="Times New Roman" w:hAnsi="Times New Roman" w:cs="Times New Roman"/>
          <w:sz w:val="24"/>
          <w:szCs w:val="24"/>
        </w:rPr>
      </w:pPr>
    </w:p>
    <w:p w:rsidR="00F33644" w:rsidRPr="00631C33" w:rsidRDefault="00F33644" w:rsidP="00631C33">
      <w:pPr>
        <w:jc w:val="both"/>
        <w:rPr>
          <w:rFonts w:ascii="Times New Roman" w:hAnsi="Times New Roman" w:cs="Times New Roman"/>
          <w:sz w:val="24"/>
          <w:szCs w:val="24"/>
        </w:rPr>
      </w:pPr>
    </w:p>
    <w:p w:rsidR="00F33644" w:rsidRPr="00631C33" w:rsidRDefault="00F33644" w:rsidP="00631C33">
      <w:pPr>
        <w:jc w:val="both"/>
        <w:rPr>
          <w:rFonts w:ascii="Times New Roman" w:hAnsi="Times New Roman" w:cs="Times New Roman"/>
          <w:sz w:val="24"/>
          <w:szCs w:val="24"/>
        </w:rPr>
      </w:pPr>
    </w:p>
    <w:p w:rsidR="0037349F" w:rsidRPr="00631C33" w:rsidRDefault="00232A32" w:rsidP="00631C33">
      <w:pPr>
        <w:jc w:val="both"/>
        <w:rPr>
          <w:rFonts w:ascii="Times New Roman" w:hAnsi="Times New Roman" w:cs="Times New Roman"/>
          <w:sz w:val="24"/>
          <w:szCs w:val="24"/>
        </w:rPr>
      </w:pPr>
      <w:bookmarkStart w:id="0" w:name="_GoBack"/>
      <w:bookmarkEnd w:id="0"/>
      <w:r w:rsidRPr="00631C33">
        <w:rPr>
          <w:rFonts w:ascii="Times New Roman" w:hAnsi="Times New Roman" w:cs="Times New Roman"/>
          <w:sz w:val="24"/>
          <w:szCs w:val="24"/>
        </w:rPr>
        <w:lastRenderedPageBreak/>
        <w:t>Figura 2</w:t>
      </w:r>
    </w:p>
    <w:p w:rsidR="0037349F" w:rsidRPr="00631C33" w:rsidRDefault="00E26787" w:rsidP="00631C33">
      <w:pPr>
        <w:jc w:val="both"/>
        <w:rPr>
          <w:rFonts w:ascii="Times New Roman" w:hAnsi="Times New Roman" w:cs="Times New Roman"/>
          <w:sz w:val="24"/>
          <w:szCs w:val="24"/>
        </w:rPr>
      </w:pPr>
      <w:r w:rsidRPr="00631C33">
        <w:rPr>
          <w:noProof/>
          <w:sz w:val="24"/>
          <w:szCs w:val="24"/>
          <w:lang w:val="es-CL"/>
        </w:rPr>
        <w:drawing>
          <wp:anchor distT="0" distB="0" distL="114300" distR="114300" simplePos="0" relativeHeight="251668480" behindDoc="1" locked="0" layoutInCell="1" allowOverlap="1" wp14:anchorId="2526FE10" wp14:editId="63ED7B9C">
            <wp:simplePos x="0" y="0"/>
            <wp:positionH relativeFrom="column">
              <wp:posOffset>5080</wp:posOffset>
            </wp:positionH>
            <wp:positionV relativeFrom="paragraph">
              <wp:posOffset>82550</wp:posOffset>
            </wp:positionV>
            <wp:extent cx="2419350" cy="2212975"/>
            <wp:effectExtent l="0" t="0" r="0" b="0"/>
            <wp:wrapTight wrapText="bothSides">
              <wp:wrapPolygon edited="0">
                <wp:start x="0" y="0"/>
                <wp:lineTo x="0" y="21383"/>
                <wp:lineTo x="21430" y="21383"/>
                <wp:lineTo x="21430" y="0"/>
                <wp:lineTo x="0" y="0"/>
              </wp:wrapPolygon>
            </wp:wrapTight>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9350" cy="2212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01E3" w:rsidRPr="00631C33" w:rsidRDefault="003701E3" w:rsidP="00631C33">
      <w:pPr>
        <w:jc w:val="both"/>
        <w:rPr>
          <w:rFonts w:ascii="Times New Roman" w:hAnsi="Times New Roman" w:cs="Times New Roman"/>
          <w:b/>
          <w:sz w:val="24"/>
          <w:szCs w:val="24"/>
        </w:rPr>
      </w:pPr>
      <w:r w:rsidRPr="00631C33">
        <w:rPr>
          <w:rFonts w:ascii="Times New Roman" w:hAnsi="Times New Roman" w:cs="Times New Roman"/>
          <w:b/>
          <w:sz w:val="24"/>
          <w:szCs w:val="24"/>
        </w:rPr>
        <w:t>Riesgos del procedimiento:</w:t>
      </w:r>
    </w:p>
    <w:p w:rsidR="0075449B" w:rsidRPr="00631C33" w:rsidRDefault="0075449B" w:rsidP="00631C33">
      <w:pPr>
        <w:jc w:val="both"/>
        <w:rPr>
          <w:rFonts w:ascii="Times New Roman" w:hAnsi="Times New Roman" w:cs="Times New Roman"/>
          <w:sz w:val="24"/>
          <w:szCs w:val="24"/>
          <w:lang w:val="es-CL"/>
        </w:rPr>
      </w:pPr>
      <w:r w:rsidRPr="00631C33">
        <w:rPr>
          <w:rFonts w:ascii="Times New Roman" w:hAnsi="Times New Roman" w:cs="Times New Roman"/>
          <w:sz w:val="24"/>
          <w:szCs w:val="24"/>
          <w:lang w:val="es-CL"/>
        </w:rPr>
        <w:t>Durante la anestesia general podría presentar algunas alteraciones. Las más serias se relacionan con las enfermedades asociadas que usted pueda sufrir, especialmente las enfermedades cardíacas. Para disminuir este riesgo, se tomaron algunos exámenes antes de la cirugía, con el fin de determinar los cuidados especiales que deben aplicarse durante la anestesia. Para ello, habrá un médico anestesiólogo asistiéndolo durante el procedimiento. En el caso de pacientes sanos, el riesgo de sufrir una complicación debido a la anestesia general, es menor del 1%.</w:t>
      </w:r>
    </w:p>
    <w:p w:rsidR="0037349F" w:rsidRPr="00631C33" w:rsidRDefault="00F804EB" w:rsidP="00631C33">
      <w:pPr>
        <w:jc w:val="both"/>
        <w:rPr>
          <w:rFonts w:ascii="Times New Roman" w:hAnsi="Times New Roman" w:cs="Times New Roman"/>
          <w:sz w:val="24"/>
          <w:szCs w:val="24"/>
          <w:lang w:val="es-CL"/>
        </w:rPr>
      </w:pPr>
      <w:r w:rsidRPr="00631C33">
        <w:rPr>
          <w:rFonts w:ascii="Times New Roman" w:hAnsi="Times New Roman" w:cs="Times New Roman"/>
          <w:sz w:val="24"/>
          <w:szCs w:val="24"/>
          <w:lang w:val="es-CL"/>
        </w:rPr>
        <w:t xml:space="preserve">Esta operación tiene los riesgos de toda cirugía, tales como hemorragia e infección, que en éste caso tienen una muy baja probabilidad de ocurrir. El dolor es moderado y la hinchazón de esa zona del cuello puede durar hasta aproximadamente 5 días. </w:t>
      </w:r>
      <w:r w:rsidR="00E365C4" w:rsidRPr="00631C33">
        <w:rPr>
          <w:rFonts w:ascii="Times New Roman" w:hAnsi="Times New Roman" w:cs="Times New Roman"/>
          <w:sz w:val="24"/>
          <w:szCs w:val="24"/>
          <w:lang w:val="es-CL"/>
        </w:rPr>
        <w:t>También</w:t>
      </w:r>
      <w:r w:rsidRPr="00631C33">
        <w:rPr>
          <w:rFonts w:ascii="Times New Roman" w:hAnsi="Times New Roman" w:cs="Times New Roman"/>
          <w:sz w:val="24"/>
          <w:szCs w:val="24"/>
          <w:lang w:val="es-CL"/>
        </w:rPr>
        <w:t xml:space="preserve"> </w:t>
      </w:r>
      <w:r w:rsidR="00E365C4" w:rsidRPr="00631C33">
        <w:rPr>
          <w:rFonts w:ascii="Times New Roman" w:hAnsi="Times New Roman" w:cs="Times New Roman"/>
          <w:sz w:val="24"/>
          <w:szCs w:val="24"/>
          <w:lang w:val="es-CL"/>
        </w:rPr>
        <w:t xml:space="preserve">sentirá dolor leve al comer y </w:t>
      </w:r>
      <w:r w:rsidRPr="00631C33">
        <w:rPr>
          <w:rFonts w:ascii="Times New Roman" w:hAnsi="Times New Roman" w:cs="Times New Roman"/>
          <w:sz w:val="24"/>
          <w:szCs w:val="24"/>
          <w:lang w:val="es-CL"/>
        </w:rPr>
        <w:t xml:space="preserve">durante </w:t>
      </w:r>
      <w:r w:rsidR="00E365C4" w:rsidRPr="00631C33">
        <w:rPr>
          <w:rFonts w:ascii="Times New Roman" w:hAnsi="Times New Roman" w:cs="Times New Roman"/>
          <w:sz w:val="24"/>
          <w:szCs w:val="24"/>
          <w:lang w:val="es-CL"/>
        </w:rPr>
        <w:t>una cantidad de días que su médico le indicará,</w:t>
      </w:r>
      <w:r w:rsidRPr="00631C33">
        <w:rPr>
          <w:rFonts w:ascii="Times New Roman" w:hAnsi="Times New Roman" w:cs="Times New Roman"/>
          <w:sz w:val="24"/>
          <w:szCs w:val="24"/>
          <w:lang w:val="es-CL"/>
        </w:rPr>
        <w:t xml:space="preserve"> no será conveniente que realice actividades físicas más intensas que lo habitual, por ejemplo las deportivas.</w:t>
      </w:r>
    </w:p>
    <w:p w:rsidR="00E365C4" w:rsidRPr="00631C33" w:rsidRDefault="00E365C4" w:rsidP="00631C33">
      <w:pPr>
        <w:jc w:val="both"/>
        <w:rPr>
          <w:rFonts w:ascii="Times New Roman" w:hAnsi="Times New Roman" w:cs="Times New Roman"/>
          <w:sz w:val="24"/>
          <w:szCs w:val="24"/>
          <w:lang w:val="es-CL"/>
        </w:rPr>
      </w:pPr>
      <w:r w:rsidRPr="00631C33">
        <w:rPr>
          <w:rFonts w:ascii="Times New Roman" w:hAnsi="Times New Roman" w:cs="Times New Roman"/>
          <w:sz w:val="24"/>
          <w:szCs w:val="24"/>
          <w:lang w:val="es-CL"/>
        </w:rPr>
        <w:t xml:space="preserve">La complicación más frecuente de la </w:t>
      </w:r>
      <w:proofErr w:type="spellStart"/>
      <w:r w:rsidRPr="00631C33">
        <w:rPr>
          <w:rFonts w:ascii="Times New Roman" w:hAnsi="Times New Roman" w:cs="Times New Roman"/>
          <w:sz w:val="24"/>
          <w:szCs w:val="24"/>
          <w:lang w:val="es-CL"/>
        </w:rPr>
        <w:t>submaxilectomía</w:t>
      </w:r>
      <w:proofErr w:type="spellEnd"/>
      <w:r w:rsidRPr="00631C33">
        <w:rPr>
          <w:rFonts w:ascii="Times New Roman" w:hAnsi="Times New Roman" w:cs="Times New Roman"/>
          <w:sz w:val="24"/>
          <w:szCs w:val="24"/>
          <w:lang w:val="es-CL"/>
        </w:rPr>
        <w:t xml:space="preserve"> es una parálisis moderada de la mitad del labio inferior en el lado operado debido a lesión de un nervio que pasa por la región en donde se ubica la glándula. Esto produce una asimetría del labio que suele ser transitoria y se recupera lentamente en los </w:t>
      </w:r>
      <w:smartTag w:uri="urn:schemas-microsoft-com:office:smarttags" w:element="metricconverter">
        <w:smartTagPr>
          <w:attr w:name="ProductID" w:val="2 a"/>
        </w:smartTagPr>
        <w:r w:rsidRPr="00631C33">
          <w:rPr>
            <w:rFonts w:ascii="Times New Roman" w:hAnsi="Times New Roman" w:cs="Times New Roman"/>
            <w:sz w:val="24"/>
            <w:szCs w:val="24"/>
            <w:lang w:val="es-CL"/>
          </w:rPr>
          <w:t>2 a</w:t>
        </w:r>
      </w:smartTag>
      <w:r w:rsidRPr="00631C33">
        <w:rPr>
          <w:rFonts w:ascii="Times New Roman" w:hAnsi="Times New Roman" w:cs="Times New Roman"/>
          <w:sz w:val="24"/>
          <w:szCs w:val="24"/>
          <w:lang w:val="es-CL"/>
        </w:rPr>
        <w:t xml:space="preserve"> 3 meses siguientes a  la  intervención.</w:t>
      </w:r>
    </w:p>
    <w:p w:rsidR="0090719B" w:rsidRPr="00631C33" w:rsidRDefault="0090719B" w:rsidP="00631C33">
      <w:pPr>
        <w:jc w:val="both"/>
        <w:rPr>
          <w:rFonts w:ascii="Times New Roman" w:hAnsi="Times New Roman" w:cs="Times New Roman"/>
          <w:sz w:val="24"/>
          <w:szCs w:val="24"/>
          <w:lang w:val="es-CL"/>
        </w:rPr>
      </w:pPr>
      <w:r w:rsidRPr="00631C33">
        <w:rPr>
          <w:rFonts w:ascii="Times New Roman" w:hAnsi="Times New Roman" w:cs="Times New Roman"/>
          <w:sz w:val="24"/>
          <w:szCs w:val="24"/>
          <w:lang w:val="es-CL"/>
        </w:rPr>
        <w:t>Excepcionalmente, se puede producir una sensación de anestesia que afecta una parte de la lengua y que, luego de 2 ó 3 meses tiende a desaparecer.</w:t>
      </w:r>
    </w:p>
    <w:p w:rsidR="009661FF" w:rsidRPr="00631C33" w:rsidRDefault="009661FF" w:rsidP="00631C33">
      <w:pPr>
        <w:jc w:val="both"/>
        <w:rPr>
          <w:rFonts w:ascii="Times New Roman" w:hAnsi="Times New Roman" w:cs="Times New Roman"/>
          <w:b/>
          <w:sz w:val="24"/>
          <w:szCs w:val="24"/>
        </w:rPr>
      </w:pPr>
    </w:p>
    <w:p w:rsidR="00232C0A" w:rsidRPr="00631C33" w:rsidRDefault="00232C0A" w:rsidP="00631C33">
      <w:pPr>
        <w:jc w:val="both"/>
        <w:rPr>
          <w:rFonts w:ascii="Times New Roman" w:hAnsi="Times New Roman" w:cs="Times New Roman"/>
          <w:b/>
          <w:sz w:val="24"/>
          <w:szCs w:val="24"/>
        </w:rPr>
      </w:pPr>
      <w:r w:rsidRPr="00631C33">
        <w:rPr>
          <w:rFonts w:ascii="Times New Roman" w:hAnsi="Times New Roman" w:cs="Times New Roman"/>
          <w:b/>
          <w:sz w:val="24"/>
          <w:szCs w:val="24"/>
        </w:rPr>
        <w:t>Alternativas</w:t>
      </w:r>
      <w:r w:rsidR="002445E5" w:rsidRPr="00631C33">
        <w:rPr>
          <w:rFonts w:ascii="Times New Roman" w:hAnsi="Times New Roman" w:cs="Times New Roman"/>
          <w:b/>
          <w:sz w:val="24"/>
          <w:szCs w:val="24"/>
        </w:rPr>
        <w:t xml:space="preserve"> al procedimiento propuesto:</w:t>
      </w:r>
    </w:p>
    <w:p w:rsidR="00266310" w:rsidRPr="00631C33" w:rsidRDefault="0090719B" w:rsidP="00631C33">
      <w:pPr>
        <w:jc w:val="both"/>
        <w:rPr>
          <w:rFonts w:ascii="Times New Roman" w:hAnsi="Times New Roman" w:cs="Times New Roman"/>
          <w:b/>
          <w:sz w:val="24"/>
          <w:szCs w:val="24"/>
          <w:lang w:val="es-CL"/>
        </w:rPr>
      </w:pPr>
      <w:r w:rsidRPr="00631C33">
        <w:rPr>
          <w:rFonts w:ascii="Times New Roman" w:hAnsi="Times New Roman" w:cs="Times New Roman"/>
          <w:sz w:val="24"/>
          <w:szCs w:val="24"/>
          <w:lang w:val="es-CL"/>
        </w:rPr>
        <w:t>No existen métodos alternativos a lo ya descrito para la eliminación de la glándula submaxilar.</w:t>
      </w:r>
    </w:p>
    <w:p w:rsidR="009661FF" w:rsidRPr="00631C33" w:rsidRDefault="009661FF" w:rsidP="00631C33">
      <w:pPr>
        <w:jc w:val="both"/>
        <w:rPr>
          <w:rFonts w:ascii="Times New Roman" w:hAnsi="Times New Roman" w:cs="Times New Roman"/>
          <w:b/>
          <w:sz w:val="24"/>
          <w:szCs w:val="24"/>
        </w:rPr>
      </w:pPr>
    </w:p>
    <w:p w:rsidR="00266310" w:rsidRPr="00631C33" w:rsidRDefault="00CA7C85" w:rsidP="00631C33">
      <w:pPr>
        <w:jc w:val="both"/>
        <w:rPr>
          <w:rFonts w:ascii="Times New Roman" w:hAnsi="Times New Roman" w:cs="Times New Roman"/>
          <w:b/>
          <w:sz w:val="24"/>
          <w:szCs w:val="24"/>
        </w:rPr>
      </w:pPr>
      <w:r w:rsidRPr="00631C33">
        <w:rPr>
          <w:rFonts w:ascii="Times New Roman" w:hAnsi="Times New Roman" w:cs="Times New Roman"/>
          <w:b/>
          <w:sz w:val="24"/>
          <w:szCs w:val="24"/>
        </w:rPr>
        <w:t>Co</w:t>
      </w:r>
      <w:r w:rsidR="00266310" w:rsidRPr="00631C33">
        <w:rPr>
          <w:rFonts w:ascii="Times New Roman" w:hAnsi="Times New Roman" w:cs="Times New Roman"/>
          <w:b/>
          <w:sz w:val="24"/>
          <w:szCs w:val="24"/>
        </w:rPr>
        <w:t>nsecuencias de no aceptar el procedimiento:</w:t>
      </w:r>
    </w:p>
    <w:p w:rsidR="00266310" w:rsidRPr="00631C33" w:rsidRDefault="003F28A6" w:rsidP="00631C33">
      <w:pPr>
        <w:jc w:val="both"/>
        <w:rPr>
          <w:rFonts w:ascii="Times New Roman" w:hAnsi="Times New Roman" w:cs="Times New Roman"/>
          <w:sz w:val="24"/>
          <w:szCs w:val="24"/>
          <w:lang w:val="es-CL"/>
        </w:rPr>
      </w:pPr>
      <w:r w:rsidRPr="00631C33">
        <w:rPr>
          <w:rFonts w:ascii="Times New Roman" w:hAnsi="Times New Roman" w:cs="Times New Roman"/>
          <w:sz w:val="24"/>
          <w:szCs w:val="24"/>
          <w:lang w:val="es-CL"/>
        </w:rPr>
        <w:t>Las</w:t>
      </w:r>
      <w:r w:rsidR="0090719B" w:rsidRPr="00631C33">
        <w:rPr>
          <w:rFonts w:ascii="Times New Roman" w:hAnsi="Times New Roman" w:cs="Times New Roman"/>
          <w:sz w:val="24"/>
          <w:szCs w:val="24"/>
          <w:lang w:val="es-CL"/>
        </w:rPr>
        <w:t xml:space="preserve"> consecuencias de no aceptar el procedimiento propuesto</w:t>
      </w:r>
      <w:r w:rsidRPr="00631C33">
        <w:rPr>
          <w:rFonts w:ascii="Times New Roman" w:hAnsi="Times New Roman" w:cs="Times New Roman"/>
          <w:sz w:val="24"/>
          <w:szCs w:val="24"/>
          <w:lang w:val="es-CL"/>
        </w:rPr>
        <w:t xml:space="preserve"> consistirán en que</w:t>
      </w:r>
      <w:r w:rsidR="000F0B6B" w:rsidRPr="00631C33">
        <w:rPr>
          <w:rFonts w:ascii="Times New Roman" w:hAnsi="Times New Roman" w:cs="Times New Roman"/>
          <w:sz w:val="24"/>
          <w:szCs w:val="24"/>
          <w:lang w:val="es-CL"/>
        </w:rPr>
        <w:t xml:space="preserve"> la enfermedad que afecta a la glándula submaxilar seguirá su curso aumentando el daño y los riesgos de complicaciones más graves en el tiempo y afectando negativamente su calidad de vida.</w:t>
      </w:r>
    </w:p>
    <w:p w:rsidR="009661FF" w:rsidRPr="00631C33" w:rsidRDefault="009661FF" w:rsidP="00631C33">
      <w:pPr>
        <w:jc w:val="both"/>
        <w:rPr>
          <w:rFonts w:ascii="Times New Roman" w:hAnsi="Times New Roman" w:cs="Times New Roman"/>
          <w:b/>
          <w:sz w:val="24"/>
          <w:szCs w:val="24"/>
        </w:rPr>
      </w:pPr>
    </w:p>
    <w:p w:rsidR="00347079" w:rsidRPr="00631C33" w:rsidRDefault="00266310" w:rsidP="00631C33">
      <w:pPr>
        <w:jc w:val="both"/>
        <w:rPr>
          <w:rFonts w:ascii="Times New Roman" w:hAnsi="Times New Roman" w:cs="Times New Roman"/>
          <w:b/>
          <w:sz w:val="24"/>
          <w:szCs w:val="24"/>
        </w:rPr>
      </w:pPr>
      <w:r w:rsidRPr="00631C33">
        <w:rPr>
          <w:rFonts w:ascii="Times New Roman" w:hAnsi="Times New Roman" w:cs="Times New Roman"/>
          <w:b/>
          <w:sz w:val="24"/>
          <w:szCs w:val="24"/>
        </w:rPr>
        <w:t>Mecanismo para solicitar más información:</w:t>
      </w:r>
    </w:p>
    <w:p w:rsidR="0090719B" w:rsidRPr="00631C33" w:rsidRDefault="0090719B" w:rsidP="00631C33">
      <w:pPr>
        <w:jc w:val="both"/>
        <w:rPr>
          <w:rFonts w:ascii="Times New Roman" w:hAnsi="Times New Roman" w:cs="Times New Roman"/>
          <w:sz w:val="24"/>
          <w:szCs w:val="24"/>
          <w:lang w:val="es-CL"/>
        </w:rPr>
      </w:pPr>
      <w:r w:rsidRPr="00631C33">
        <w:rPr>
          <w:rFonts w:ascii="Times New Roman" w:hAnsi="Times New Roman" w:cs="Times New Roman"/>
          <w:sz w:val="24"/>
          <w:szCs w:val="24"/>
          <w:lang w:val="es-CL"/>
        </w:rPr>
        <w:t xml:space="preserve">Si usted aún tiene dudas, puede solicitar mayor información al </w:t>
      </w:r>
      <w:r w:rsidR="000F0B6B" w:rsidRPr="00631C33">
        <w:rPr>
          <w:rFonts w:ascii="Times New Roman" w:hAnsi="Times New Roman" w:cs="Times New Roman"/>
          <w:sz w:val="24"/>
          <w:szCs w:val="24"/>
          <w:lang w:val="es-CL"/>
        </w:rPr>
        <w:t>cirujano</w:t>
      </w:r>
      <w:r w:rsidRPr="00631C33">
        <w:rPr>
          <w:rFonts w:ascii="Times New Roman" w:hAnsi="Times New Roman" w:cs="Times New Roman"/>
          <w:sz w:val="24"/>
          <w:szCs w:val="24"/>
          <w:lang w:val="es-CL"/>
        </w:rPr>
        <w:t xml:space="preserve"> que lo está tratando o al Jefe del Servicio de Odontología.</w:t>
      </w:r>
    </w:p>
    <w:p w:rsidR="000F0B6B" w:rsidRPr="00631C33" w:rsidRDefault="0090719B" w:rsidP="00631C33">
      <w:pPr>
        <w:jc w:val="both"/>
        <w:rPr>
          <w:rFonts w:ascii="Times New Roman" w:hAnsi="Times New Roman" w:cs="Times New Roman"/>
          <w:sz w:val="24"/>
          <w:szCs w:val="24"/>
          <w:lang w:val="es-CL"/>
        </w:rPr>
      </w:pPr>
      <w:r w:rsidRPr="00631C33">
        <w:rPr>
          <w:rFonts w:ascii="Times New Roman" w:hAnsi="Times New Roman" w:cs="Times New Roman"/>
          <w:sz w:val="24"/>
          <w:szCs w:val="24"/>
          <w:lang w:val="es-CL"/>
        </w:rPr>
        <w:t xml:space="preserve">La decisión que usted tome, aceptar o rechazar el procedimiento propuesto, puede cambiarla posteriormente </w:t>
      </w:r>
      <w:r w:rsidR="000F0B6B" w:rsidRPr="00631C33">
        <w:rPr>
          <w:rFonts w:ascii="Times New Roman" w:hAnsi="Times New Roman" w:cs="Times New Roman"/>
          <w:sz w:val="24"/>
          <w:szCs w:val="24"/>
          <w:lang w:val="es-CL"/>
        </w:rPr>
        <w:t>informándolo</w:t>
      </w:r>
      <w:r w:rsidRPr="00631C33">
        <w:rPr>
          <w:rFonts w:ascii="Times New Roman" w:hAnsi="Times New Roman" w:cs="Times New Roman"/>
          <w:sz w:val="24"/>
          <w:szCs w:val="24"/>
          <w:lang w:val="es-CL"/>
        </w:rPr>
        <w:t xml:space="preserve"> a su </w:t>
      </w:r>
      <w:r w:rsidR="000F0B6B" w:rsidRPr="00631C33">
        <w:rPr>
          <w:rFonts w:ascii="Times New Roman" w:hAnsi="Times New Roman" w:cs="Times New Roman"/>
          <w:sz w:val="24"/>
          <w:szCs w:val="24"/>
          <w:lang w:val="es-CL"/>
        </w:rPr>
        <w:t>cirujano tratante</w:t>
      </w:r>
      <w:r w:rsidRPr="00631C33">
        <w:rPr>
          <w:rFonts w:ascii="Times New Roman" w:hAnsi="Times New Roman" w:cs="Times New Roman"/>
          <w:sz w:val="24"/>
          <w:szCs w:val="24"/>
          <w:lang w:val="es-CL"/>
        </w:rPr>
        <w:t xml:space="preserve"> a</w:t>
      </w:r>
      <w:r w:rsidR="00CA7C85" w:rsidRPr="00631C33">
        <w:rPr>
          <w:rFonts w:ascii="Times New Roman" w:hAnsi="Times New Roman" w:cs="Times New Roman"/>
          <w:sz w:val="24"/>
          <w:szCs w:val="24"/>
          <w:lang w:val="es-CL"/>
        </w:rPr>
        <w:t>ntes de ejecutar el tratamiento</w:t>
      </w:r>
      <w:r w:rsidR="004F41C1" w:rsidRPr="00631C33">
        <w:rPr>
          <w:rFonts w:ascii="Times New Roman" w:hAnsi="Times New Roman" w:cs="Times New Roman"/>
          <w:sz w:val="24"/>
          <w:szCs w:val="24"/>
          <w:lang w:val="es-CL"/>
        </w:rPr>
        <w:t>.</w:t>
      </w:r>
    </w:p>
    <w:p w:rsidR="00F33644" w:rsidRPr="00631C33" w:rsidRDefault="00F33644" w:rsidP="00631C33">
      <w:pPr>
        <w:jc w:val="both"/>
        <w:rPr>
          <w:rFonts w:ascii="Times New Roman" w:hAnsi="Times New Roman" w:cs="Times New Roman"/>
          <w:sz w:val="24"/>
          <w:szCs w:val="24"/>
          <w:lang w:val="es-CL"/>
        </w:rPr>
      </w:pPr>
    </w:p>
    <w:p w:rsidR="009661FF" w:rsidRPr="00631C33" w:rsidRDefault="009661FF" w:rsidP="00631C33">
      <w:pPr>
        <w:pStyle w:val="Default"/>
        <w:jc w:val="both"/>
      </w:pPr>
      <w:r w:rsidRPr="00631C33">
        <w:rPr>
          <w:b/>
          <w:bCs/>
        </w:rPr>
        <w:t xml:space="preserve">Revocabilidad </w:t>
      </w:r>
    </w:p>
    <w:p w:rsidR="009661FF" w:rsidRPr="00631C33" w:rsidRDefault="009661FF" w:rsidP="00631C33">
      <w:pPr>
        <w:pStyle w:val="Textoindependiente"/>
        <w:jc w:val="both"/>
        <w:rPr>
          <w:rFonts w:ascii="Arial" w:hAnsi="Arial" w:cs="Arial"/>
          <w:sz w:val="24"/>
        </w:rPr>
      </w:pPr>
      <w:r w:rsidRPr="00631C33">
        <w:rPr>
          <w:b w:val="0"/>
          <w:iCs/>
          <w:sz w:val="24"/>
        </w:rPr>
        <w:t>Se me señala, que hacer si cambio de idea tanto en aceptar o rechazar el procedimiento, cirugía o terapia propuesta.</w:t>
      </w:r>
    </w:p>
    <w:sectPr w:rsidR="009661FF" w:rsidRPr="00631C33" w:rsidSect="002223E6">
      <w:pgSz w:w="12240" w:h="15840" w:code="1"/>
      <w:pgMar w:top="1134" w:right="1134" w:bottom="1134" w:left="113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C8A"/>
    <w:rsid w:val="000021F2"/>
    <w:rsid w:val="00035359"/>
    <w:rsid w:val="000507B7"/>
    <w:rsid w:val="000B7552"/>
    <w:rsid w:val="000C3BA0"/>
    <w:rsid w:val="000D554D"/>
    <w:rsid w:val="000F0B6B"/>
    <w:rsid w:val="000F32CC"/>
    <w:rsid w:val="001F1FA8"/>
    <w:rsid w:val="002223E6"/>
    <w:rsid w:val="00232A32"/>
    <w:rsid w:val="00232C0A"/>
    <w:rsid w:val="002445E5"/>
    <w:rsid w:val="0026544A"/>
    <w:rsid w:val="00265A7A"/>
    <w:rsid w:val="00266310"/>
    <w:rsid w:val="00283CBD"/>
    <w:rsid w:val="002F1A03"/>
    <w:rsid w:val="003211AB"/>
    <w:rsid w:val="00347079"/>
    <w:rsid w:val="003701E3"/>
    <w:rsid w:val="0037349F"/>
    <w:rsid w:val="003E7144"/>
    <w:rsid w:val="003F28A6"/>
    <w:rsid w:val="00412193"/>
    <w:rsid w:val="00460947"/>
    <w:rsid w:val="004901D6"/>
    <w:rsid w:val="004D46AF"/>
    <w:rsid w:val="004F41C1"/>
    <w:rsid w:val="00525C1B"/>
    <w:rsid w:val="00566A5D"/>
    <w:rsid w:val="005B40E9"/>
    <w:rsid w:val="005C3A87"/>
    <w:rsid w:val="005E2F1F"/>
    <w:rsid w:val="00631C33"/>
    <w:rsid w:val="006551A2"/>
    <w:rsid w:val="006650E1"/>
    <w:rsid w:val="00665FFE"/>
    <w:rsid w:val="006B65CA"/>
    <w:rsid w:val="006F016C"/>
    <w:rsid w:val="0075449B"/>
    <w:rsid w:val="0078442E"/>
    <w:rsid w:val="007A16EF"/>
    <w:rsid w:val="00871C08"/>
    <w:rsid w:val="0090719B"/>
    <w:rsid w:val="009661FF"/>
    <w:rsid w:val="009913B5"/>
    <w:rsid w:val="009F20A1"/>
    <w:rsid w:val="00A07259"/>
    <w:rsid w:val="00A10397"/>
    <w:rsid w:val="00A1276A"/>
    <w:rsid w:val="00C5439E"/>
    <w:rsid w:val="00C73F76"/>
    <w:rsid w:val="00C83DC5"/>
    <w:rsid w:val="00CA7C85"/>
    <w:rsid w:val="00CD7D78"/>
    <w:rsid w:val="00D402AA"/>
    <w:rsid w:val="00DC64B8"/>
    <w:rsid w:val="00E029BB"/>
    <w:rsid w:val="00E02B1F"/>
    <w:rsid w:val="00E26787"/>
    <w:rsid w:val="00E365C4"/>
    <w:rsid w:val="00EB5D2C"/>
    <w:rsid w:val="00EF03C5"/>
    <w:rsid w:val="00F33644"/>
    <w:rsid w:val="00F60B60"/>
    <w:rsid w:val="00F804EB"/>
    <w:rsid w:val="00FD4C8A"/>
    <w:rsid w:val="00FF38C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021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3E7144"/>
    <w:rPr>
      <w:rFonts w:ascii="Tahoma" w:hAnsi="Tahoma" w:cs="Tahoma"/>
      <w:sz w:val="16"/>
      <w:szCs w:val="16"/>
    </w:rPr>
  </w:style>
  <w:style w:type="character" w:customStyle="1" w:styleId="TextodegloboCar">
    <w:name w:val="Texto de globo Car"/>
    <w:link w:val="Textodeglobo"/>
    <w:rsid w:val="003E7144"/>
    <w:rPr>
      <w:rFonts w:ascii="Tahoma" w:hAnsi="Tahoma" w:cs="Tahoma"/>
      <w:sz w:val="16"/>
      <w:szCs w:val="16"/>
      <w:lang w:val="es-ES"/>
    </w:rPr>
  </w:style>
  <w:style w:type="paragraph" w:customStyle="1" w:styleId="Default">
    <w:name w:val="Default"/>
    <w:rsid w:val="004F41C1"/>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rsid w:val="009661FF"/>
    <w:pPr>
      <w:jc w:val="center"/>
    </w:pPr>
    <w:rPr>
      <w:rFonts w:ascii="Times New Roman" w:hAnsi="Times New Roman" w:cs="Times New Roman"/>
      <w:b/>
      <w:bCs/>
      <w:sz w:val="72"/>
      <w:szCs w:val="24"/>
      <w:lang w:eastAsia="es-ES"/>
    </w:rPr>
  </w:style>
  <w:style w:type="character" w:customStyle="1" w:styleId="TextoindependienteCar">
    <w:name w:val="Texto independiente Car"/>
    <w:basedOn w:val="Fuentedeprrafopredeter"/>
    <w:link w:val="Textoindependiente"/>
    <w:rsid w:val="009661FF"/>
    <w:rPr>
      <w:b/>
      <w:bCs/>
      <w:sz w:val="72"/>
      <w:szCs w:val="24"/>
      <w:lang w:val="es-ES" w:eastAsia="es-ES"/>
    </w:rPr>
  </w:style>
  <w:style w:type="character" w:styleId="Hipervnculo">
    <w:name w:val="Hyperlink"/>
    <w:basedOn w:val="Fuentedeprrafopredeter"/>
    <w:rsid w:val="00631C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021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3E7144"/>
    <w:rPr>
      <w:rFonts w:ascii="Tahoma" w:hAnsi="Tahoma" w:cs="Tahoma"/>
      <w:sz w:val="16"/>
      <w:szCs w:val="16"/>
    </w:rPr>
  </w:style>
  <w:style w:type="character" w:customStyle="1" w:styleId="TextodegloboCar">
    <w:name w:val="Texto de globo Car"/>
    <w:link w:val="Textodeglobo"/>
    <w:rsid w:val="003E7144"/>
    <w:rPr>
      <w:rFonts w:ascii="Tahoma" w:hAnsi="Tahoma" w:cs="Tahoma"/>
      <w:sz w:val="16"/>
      <w:szCs w:val="16"/>
      <w:lang w:val="es-ES"/>
    </w:rPr>
  </w:style>
  <w:style w:type="paragraph" w:customStyle="1" w:styleId="Default">
    <w:name w:val="Default"/>
    <w:rsid w:val="004F41C1"/>
    <w:pPr>
      <w:autoSpaceDE w:val="0"/>
      <w:autoSpaceDN w:val="0"/>
      <w:adjustRightInd w:val="0"/>
    </w:pPr>
    <w:rPr>
      <w:color w:val="000000"/>
      <w:sz w:val="24"/>
      <w:szCs w:val="24"/>
      <w:lang w:val="es-ES" w:eastAsia="en-US"/>
    </w:rPr>
  </w:style>
  <w:style w:type="paragraph" w:styleId="Textoindependiente">
    <w:name w:val="Body Text"/>
    <w:basedOn w:val="Normal"/>
    <w:link w:val="TextoindependienteCar"/>
    <w:rsid w:val="009661FF"/>
    <w:pPr>
      <w:jc w:val="center"/>
    </w:pPr>
    <w:rPr>
      <w:rFonts w:ascii="Times New Roman" w:hAnsi="Times New Roman" w:cs="Times New Roman"/>
      <w:b/>
      <w:bCs/>
      <w:sz w:val="72"/>
      <w:szCs w:val="24"/>
      <w:lang w:eastAsia="es-ES"/>
    </w:rPr>
  </w:style>
  <w:style w:type="character" w:customStyle="1" w:styleId="TextoindependienteCar">
    <w:name w:val="Texto independiente Car"/>
    <w:basedOn w:val="Fuentedeprrafopredeter"/>
    <w:link w:val="Textoindependiente"/>
    <w:rsid w:val="009661FF"/>
    <w:rPr>
      <w:b/>
      <w:bCs/>
      <w:sz w:val="72"/>
      <w:szCs w:val="24"/>
      <w:lang w:val="es-ES" w:eastAsia="es-ES"/>
    </w:rPr>
  </w:style>
  <w:style w:type="character" w:styleId="Hipervnculo">
    <w:name w:val="Hyperlink"/>
    <w:basedOn w:val="Fuentedeprrafopredeter"/>
    <w:rsid w:val="00631C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38251">
      <w:bodyDiv w:val="1"/>
      <w:marLeft w:val="0"/>
      <w:marRight w:val="0"/>
      <w:marTop w:val="0"/>
      <w:marBottom w:val="0"/>
      <w:divBdr>
        <w:top w:val="none" w:sz="0" w:space="0" w:color="auto"/>
        <w:left w:val="none" w:sz="0" w:space="0" w:color="auto"/>
        <w:bottom w:val="none" w:sz="0" w:space="0" w:color="auto"/>
        <w:right w:val="none" w:sz="0" w:space="0" w:color="auto"/>
      </w:divBdr>
      <w:divsChild>
        <w:div w:id="1741754819">
          <w:marLeft w:val="0"/>
          <w:marRight w:val="0"/>
          <w:marTop w:val="0"/>
          <w:marBottom w:val="0"/>
          <w:divBdr>
            <w:top w:val="none" w:sz="0" w:space="0" w:color="auto"/>
            <w:left w:val="none" w:sz="0" w:space="0" w:color="auto"/>
            <w:bottom w:val="none" w:sz="0" w:space="0" w:color="auto"/>
            <w:right w:val="none" w:sz="0" w:space="0" w:color="auto"/>
          </w:divBdr>
        </w:div>
      </w:divsChild>
    </w:div>
    <w:div w:id="283729941">
      <w:bodyDiv w:val="1"/>
      <w:marLeft w:val="0"/>
      <w:marRight w:val="0"/>
      <w:marTop w:val="0"/>
      <w:marBottom w:val="0"/>
      <w:divBdr>
        <w:top w:val="none" w:sz="0" w:space="0" w:color="auto"/>
        <w:left w:val="none" w:sz="0" w:space="0" w:color="auto"/>
        <w:bottom w:val="none" w:sz="0" w:space="0" w:color="auto"/>
        <w:right w:val="none" w:sz="0" w:space="0" w:color="auto"/>
      </w:divBdr>
      <w:divsChild>
        <w:div w:id="481390734">
          <w:marLeft w:val="0"/>
          <w:marRight w:val="0"/>
          <w:marTop w:val="0"/>
          <w:marBottom w:val="0"/>
          <w:divBdr>
            <w:top w:val="none" w:sz="0" w:space="0" w:color="auto"/>
            <w:left w:val="none" w:sz="0" w:space="0" w:color="auto"/>
            <w:bottom w:val="none" w:sz="0" w:space="0" w:color="auto"/>
            <w:right w:val="none" w:sz="0" w:space="0" w:color="auto"/>
          </w:divBdr>
        </w:div>
      </w:divsChild>
    </w:div>
    <w:div w:id="398792758">
      <w:bodyDiv w:val="1"/>
      <w:marLeft w:val="0"/>
      <w:marRight w:val="0"/>
      <w:marTop w:val="0"/>
      <w:marBottom w:val="0"/>
      <w:divBdr>
        <w:top w:val="none" w:sz="0" w:space="0" w:color="auto"/>
        <w:left w:val="none" w:sz="0" w:space="0" w:color="auto"/>
        <w:bottom w:val="none" w:sz="0" w:space="0" w:color="auto"/>
        <w:right w:val="none" w:sz="0" w:space="0" w:color="auto"/>
      </w:divBdr>
      <w:divsChild>
        <w:div w:id="1279603166">
          <w:marLeft w:val="0"/>
          <w:marRight w:val="0"/>
          <w:marTop w:val="0"/>
          <w:marBottom w:val="0"/>
          <w:divBdr>
            <w:top w:val="none" w:sz="0" w:space="0" w:color="auto"/>
            <w:left w:val="none" w:sz="0" w:space="0" w:color="auto"/>
            <w:bottom w:val="none" w:sz="0" w:space="0" w:color="auto"/>
            <w:right w:val="none" w:sz="0" w:space="0" w:color="auto"/>
          </w:divBdr>
        </w:div>
      </w:divsChild>
    </w:div>
    <w:div w:id="470710666">
      <w:bodyDiv w:val="1"/>
      <w:marLeft w:val="0"/>
      <w:marRight w:val="0"/>
      <w:marTop w:val="0"/>
      <w:marBottom w:val="0"/>
      <w:divBdr>
        <w:top w:val="none" w:sz="0" w:space="0" w:color="auto"/>
        <w:left w:val="none" w:sz="0" w:space="0" w:color="auto"/>
        <w:bottom w:val="none" w:sz="0" w:space="0" w:color="auto"/>
        <w:right w:val="none" w:sz="0" w:space="0" w:color="auto"/>
      </w:divBdr>
      <w:divsChild>
        <w:div w:id="376391315">
          <w:marLeft w:val="0"/>
          <w:marRight w:val="0"/>
          <w:marTop w:val="0"/>
          <w:marBottom w:val="0"/>
          <w:divBdr>
            <w:top w:val="none" w:sz="0" w:space="0" w:color="auto"/>
            <w:left w:val="none" w:sz="0" w:space="0" w:color="auto"/>
            <w:bottom w:val="none" w:sz="0" w:space="0" w:color="auto"/>
            <w:right w:val="none" w:sz="0" w:space="0" w:color="auto"/>
          </w:divBdr>
        </w:div>
      </w:divsChild>
    </w:div>
    <w:div w:id="1046758702">
      <w:bodyDiv w:val="1"/>
      <w:marLeft w:val="0"/>
      <w:marRight w:val="0"/>
      <w:marTop w:val="0"/>
      <w:marBottom w:val="0"/>
      <w:divBdr>
        <w:top w:val="none" w:sz="0" w:space="0" w:color="auto"/>
        <w:left w:val="none" w:sz="0" w:space="0" w:color="auto"/>
        <w:bottom w:val="none" w:sz="0" w:space="0" w:color="auto"/>
        <w:right w:val="none" w:sz="0" w:space="0" w:color="auto"/>
      </w:divBdr>
      <w:divsChild>
        <w:div w:id="1096949313">
          <w:marLeft w:val="0"/>
          <w:marRight w:val="0"/>
          <w:marTop w:val="0"/>
          <w:marBottom w:val="0"/>
          <w:divBdr>
            <w:top w:val="none" w:sz="0" w:space="0" w:color="auto"/>
            <w:left w:val="none" w:sz="0" w:space="0" w:color="auto"/>
            <w:bottom w:val="none" w:sz="0" w:space="0" w:color="auto"/>
            <w:right w:val="none" w:sz="0" w:space="0" w:color="auto"/>
          </w:divBdr>
        </w:div>
      </w:divsChild>
    </w:div>
    <w:div w:id="1169100860">
      <w:bodyDiv w:val="1"/>
      <w:marLeft w:val="0"/>
      <w:marRight w:val="0"/>
      <w:marTop w:val="0"/>
      <w:marBottom w:val="0"/>
      <w:divBdr>
        <w:top w:val="none" w:sz="0" w:space="0" w:color="auto"/>
        <w:left w:val="none" w:sz="0" w:space="0" w:color="auto"/>
        <w:bottom w:val="none" w:sz="0" w:space="0" w:color="auto"/>
        <w:right w:val="none" w:sz="0" w:space="0" w:color="auto"/>
      </w:divBdr>
      <w:divsChild>
        <w:div w:id="14162737">
          <w:marLeft w:val="0"/>
          <w:marRight w:val="0"/>
          <w:marTop w:val="0"/>
          <w:marBottom w:val="0"/>
          <w:divBdr>
            <w:top w:val="none" w:sz="0" w:space="0" w:color="auto"/>
            <w:left w:val="none" w:sz="0" w:space="0" w:color="auto"/>
            <w:bottom w:val="none" w:sz="0" w:space="0" w:color="auto"/>
            <w:right w:val="none" w:sz="0" w:space="0" w:color="auto"/>
          </w:divBdr>
        </w:div>
      </w:divsChild>
    </w:div>
    <w:div w:id="1247810155">
      <w:bodyDiv w:val="1"/>
      <w:marLeft w:val="0"/>
      <w:marRight w:val="0"/>
      <w:marTop w:val="0"/>
      <w:marBottom w:val="0"/>
      <w:divBdr>
        <w:top w:val="none" w:sz="0" w:space="0" w:color="auto"/>
        <w:left w:val="none" w:sz="0" w:space="0" w:color="auto"/>
        <w:bottom w:val="none" w:sz="0" w:space="0" w:color="auto"/>
        <w:right w:val="none" w:sz="0" w:space="0" w:color="auto"/>
      </w:divBdr>
      <w:divsChild>
        <w:div w:id="1324624040">
          <w:marLeft w:val="0"/>
          <w:marRight w:val="0"/>
          <w:marTop w:val="0"/>
          <w:marBottom w:val="0"/>
          <w:divBdr>
            <w:top w:val="none" w:sz="0" w:space="0" w:color="auto"/>
            <w:left w:val="none" w:sz="0" w:space="0" w:color="auto"/>
            <w:bottom w:val="none" w:sz="0" w:space="0" w:color="auto"/>
            <w:right w:val="none" w:sz="0" w:space="0" w:color="auto"/>
          </w:divBdr>
        </w:div>
      </w:divsChild>
    </w:div>
    <w:div w:id="1327366536">
      <w:bodyDiv w:val="1"/>
      <w:marLeft w:val="0"/>
      <w:marRight w:val="0"/>
      <w:marTop w:val="0"/>
      <w:marBottom w:val="0"/>
      <w:divBdr>
        <w:top w:val="none" w:sz="0" w:space="0" w:color="auto"/>
        <w:left w:val="none" w:sz="0" w:space="0" w:color="auto"/>
        <w:bottom w:val="none" w:sz="0" w:space="0" w:color="auto"/>
        <w:right w:val="none" w:sz="0" w:space="0" w:color="auto"/>
      </w:divBdr>
      <w:divsChild>
        <w:div w:id="130904898">
          <w:marLeft w:val="0"/>
          <w:marRight w:val="0"/>
          <w:marTop w:val="0"/>
          <w:marBottom w:val="0"/>
          <w:divBdr>
            <w:top w:val="none" w:sz="0" w:space="0" w:color="auto"/>
            <w:left w:val="none" w:sz="0" w:space="0" w:color="auto"/>
            <w:bottom w:val="none" w:sz="0" w:space="0" w:color="auto"/>
            <w:right w:val="none" w:sz="0" w:space="0" w:color="auto"/>
          </w:divBdr>
        </w:div>
      </w:divsChild>
    </w:div>
    <w:div w:id="1708093955">
      <w:bodyDiv w:val="1"/>
      <w:marLeft w:val="0"/>
      <w:marRight w:val="0"/>
      <w:marTop w:val="0"/>
      <w:marBottom w:val="0"/>
      <w:divBdr>
        <w:top w:val="none" w:sz="0" w:space="0" w:color="auto"/>
        <w:left w:val="none" w:sz="0" w:space="0" w:color="auto"/>
        <w:bottom w:val="none" w:sz="0" w:space="0" w:color="auto"/>
        <w:right w:val="none" w:sz="0" w:space="0" w:color="auto"/>
      </w:divBdr>
      <w:divsChild>
        <w:div w:id="63139917">
          <w:marLeft w:val="0"/>
          <w:marRight w:val="0"/>
          <w:marTop w:val="0"/>
          <w:marBottom w:val="0"/>
          <w:divBdr>
            <w:top w:val="none" w:sz="0" w:space="0" w:color="auto"/>
            <w:left w:val="none" w:sz="0" w:space="0" w:color="auto"/>
            <w:bottom w:val="none" w:sz="0" w:space="0" w:color="auto"/>
            <w:right w:val="none" w:sz="0" w:space="0" w:color="auto"/>
          </w:divBdr>
        </w:div>
      </w:divsChild>
    </w:div>
    <w:div w:id="2003389080">
      <w:bodyDiv w:val="1"/>
      <w:marLeft w:val="0"/>
      <w:marRight w:val="0"/>
      <w:marTop w:val="0"/>
      <w:marBottom w:val="0"/>
      <w:divBdr>
        <w:top w:val="none" w:sz="0" w:space="0" w:color="auto"/>
        <w:left w:val="none" w:sz="0" w:space="0" w:color="auto"/>
        <w:bottom w:val="none" w:sz="0" w:space="0" w:color="auto"/>
        <w:right w:val="none" w:sz="0" w:space="0" w:color="auto"/>
      </w:divBdr>
      <w:divsChild>
        <w:div w:id="938179873">
          <w:marLeft w:val="0"/>
          <w:marRight w:val="0"/>
          <w:marTop w:val="0"/>
          <w:marBottom w:val="0"/>
          <w:divBdr>
            <w:top w:val="none" w:sz="0" w:space="0" w:color="auto"/>
            <w:left w:val="none" w:sz="0" w:space="0" w:color="auto"/>
            <w:bottom w:val="none" w:sz="0" w:space="0" w:color="auto"/>
            <w:right w:val="none" w:sz="0" w:space="0" w:color="auto"/>
          </w:divBdr>
        </w:div>
      </w:divsChild>
    </w:div>
    <w:div w:id="2007971910">
      <w:bodyDiv w:val="1"/>
      <w:marLeft w:val="0"/>
      <w:marRight w:val="0"/>
      <w:marTop w:val="0"/>
      <w:marBottom w:val="0"/>
      <w:divBdr>
        <w:top w:val="none" w:sz="0" w:space="0" w:color="auto"/>
        <w:left w:val="none" w:sz="0" w:space="0" w:color="auto"/>
        <w:bottom w:val="none" w:sz="0" w:space="0" w:color="auto"/>
        <w:right w:val="none" w:sz="0" w:space="0" w:color="auto"/>
      </w:divBdr>
      <w:divsChild>
        <w:div w:id="931621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s://intranet.hospitalcurico.cl/projects/consentimient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22F21-A109-41A0-BEA7-54FF9C242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660</Words>
  <Characters>3630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SERVICIO DE SALUD DEL MAULE</vt:lpstr>
    </vt:vector>
  </TitlesOfParts>
  <Company>UTAL</Company>
  <LinksUpToDate>false</LinksUpToDate>
  <CharactersWithSpaces>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 DE SALUD DEL MAULE</dc:title>
  <dc:creator>SERGIO PLANA ZENTENO</dc:creator>
  <cp:lastModifiedBy>Calidad</cp:lastModifiedBy>
  <cp:revision>7</cp:revision>
  <cp:lastPrinted>2015-07-28T18:37:00Z</cp:lastPrinted>
  <dcterms:created xsi:type="dcterms:W3CDTF">2015-07-28T18:35:00Z</dcterms:created>
  <dcterms:modified xsi:type="dcterms:W3CDTF">2021-06-08T12:32:00Z</dcterms:modified>
</cp:coreProperties>
</file>