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0C" w:rsidRDefault="0084230C" w:rsidP="0084230C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7FB6F72" wp14:editId="33EF6432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30C" w:rsidRDefault="0084230C" w:rsidP="0084230C">
      <w:pPr>
        <w:jc w:val="center"/>
        <w:rPr>
          <w:b/>
          <w:sz w:val="24"/>
          <w:szCs w:val="24"/>
          <w:u w:val="single"/>
        </w:rPr>
      </w:pPr>
    </w:p>
    <w:p w:rsidR="0084230C" w:rsidRDefault="0084230C" w:rsidP="0084230C">
      <w:pPr>
        <w:jc w:val="center"/>
        <w:rPr>
          <w:b/>
          <w:sz w:val="24"/>
          <w:szCs w:val="24"/>
          <w:u w:val="single"/>
        </w:rPr>
      </w:pPr>
    </w:p>
    <w:p w:rsidR="0084230C" w:rsidRDefault="0084230C" w:rsidP="0084230C">
      <w:pPr>
        <w:jc w:val="center"/>
        <w:rPr>
          <w:b/>
          <w:sz w:val="24"/>
          <w:szCs w:val="24"/>
          <w:u w:val="single"/>
        </w:rPr>
      </w:pPr>
      <w:r w:rsidRPr="00E72A72">
        <w:rPr>
          <w:b/>
          <w:sz w:val="24"/>
          <w:szCs w:val="24"/>
          <w:u w:val="single"/>
        </w:rPr>
        <w:t xml:space="preserve">INFORMACIÓN PARA PACIENTES: </w:t>
      </w:r>
      <w:r w:rsidRPr="00E72A72">
        <w:rPr>
          <w:b/>
          <w:sz w:val="24"/>
          <w:szCs w:val="24"/>
          <w:u w:val="single"/>
        </w:rPr>
        <w:br/>
        <w:t>“</w:t>
      </w:r>
      <w:r w:rsidRPr="0084230C">
        <w:rPr>
          <w:b/>
          <w:sz w:val="24"/>
          <w:szCs w:val="24"/>
          <w:u w:val="single"/>
        </w:rPr>
        <w:t xml:space="preserve">CIRUGIA REPARADORA DEL CARTILAGO ARTICULAR </w:t>
      </w:r>
    </w:p>
    <w:p w:rsidR="0084230C" w:rsidRPr="00E72A72" w:rsidRDefault="0084230C" w:rsidP="0084230C">
      <w:pPr>
        <w:jc w:val="center"/>
        <w:rPr>
          <w:b/>
          <w:sz w:val="24"/>
          <w:szCs w:val="24"/>
          <w:u w:val="single"/>
        </w:rPr>
      </w:pPr>
      <w:r w:rsidRPr="0084230C">
        <w:rPr>
          <w:b/>
          <w:sz w:val="24"/>
          <w:szCs w:val="24"/>
          <w:u w:val="single"/>
        </w:rPr>
        <w:t>(AUTOINJERTOS, MOSAICOPLASYIAS, PERFORACONES, ALOINJERTOS, AUTOTRANSPLANTES DE CONDROCITOS CULTIVADOS)</w:t>
      </w:r>
      <w:r>
        <w:rPr>
          <w:b/>
          <w:sz w:val="24"/>
          <w:szCs w:val="24"/>
          <w:u w:val="single"/>
        </w:rPr>
        <w:t>”</w:t>
      </w:r>
    </w:p>
    <w:p w:rsidR="0084230C" w:rsidRDefault="0084230C" w:rsidP="0084230C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84230C" w:rsidRPr="0084230C" w:rsidRDefault="0084230C" w:rsidP="0084230C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B77079">
        <w:rPr>
          <w:sz w:val="22"/>
          <w:szCs w:val="22"/>
        </w:rPr>
        <w:br/>
      </w:r>
      <w:r w:rsidRPr="0084230C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84230C" w:rsidRPr="0084230C" w:rsidRDefault="0084230C" w:rsidP="0084230C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84230C" w:rsidRPr="0084230C" w:rsidRDefault="0084230C" w:rsidP="0084230C">
      <w:pPr>
        <w:tabs>
          <w:tab w:val="left" w:pos="3135"/>
        </w:tabs>
        <w:jc w:val="both"/>
        <w:rPr>
          <w:rStyle w:val="Hipervnculo"/>
          <w:b/>
          <w:i/>
          <w:sz w:val="24"/>
          <w:szCs w:val="24"/>
        </w:rPr>
      </w:pPr>
      <w:r w:rsidRPr="0084230C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8" w:history="1">
        <w:r w:rsidRPr="0084230C">
          <w:rPr>
            <w:rStyle w:val="Hipervnculo"/>
            <w:b/>
            <w:i/>
            <w:sz w:val="24"/>
            <w:szCs w:val="24"/>
          </w:rPr>
          <w:t>https://intranet.hospitalcurico.cl/projects/consentimiento</w:t>
        </w:r>
      </w:hyperlink>
    </w:p>
    <w:bookmarkEnd w:id="0"/>
    <w:p w:rsidR="003C504E" w:rsidRPr="0084230C" w:rsidRDefault="003C504E" w:rsidP="0084230C">
      <w:pPr>
        <w:jc w:val="both"/>
        <w:rPr>
          <w:b/>
          <w:sz w:val="24"/>
          <w:szCs w:val="24"/>
        </w:rPr>
      </w:pPr>
    </w:p>
    <w:p w:rsidR="00BE6E36" w:rsidRPr="0084230C" w:rsidRDefault="00BE6E36" w:rsidP="0084230C">
      <w:pPr>
        <w:jc w:val="both"/>
        <w:rPr>
          <w:b/>
          <w:sz w:val="24"/>
          <w:szCs w:val="24"/>
        </w:rPr>
      </w:pPr>
      <w:r w:rsidRPr="0084230C">
        <w:rPr>
          <w:b/>
          <w:sz w:val="24"/>
          <w:szCs w:val="24"/>
        </w:rPr>
        <w:t>Objetivos del procedimiento:</w:t>
      </w:r>
    </w:p>
    <w:p w:rsidR="001A7B20" w:rsidRPr="0084230C" w:rsidRDefault="001A7B20" w:rsidP="0084230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El propósito principal de la intervención es intentar restaurar el cartílago articular y disminuir el deterioro progresivo de la articulación.</w:t>
      </w:r>
    </w:p>
    <w:p w:rsidR="00BE6E36" w:rsidRPr="0084230C" w:rsidRDefault="00BE6E36" w:rsidP="0084230C">
      <w:pPr>
        <w:jc w:val="both"/>
        <w:rPr>
          <w:sz w:val="24"/>
          <w:szCs w:val="24"/>
        </w:rPr>
      </w:pPr>
    </w:p>
    <w:p w:rsidR="00BE6E36" w:rsidRPr="0084230C" w:rsidRDefault="00BE6E36" w:rsidP="0084230C">
      <w:pPr>
        <w:jc w:val="both"/>
        <w:rPr>
          <w:b/>
          <w:sz w:val="24"/>
          <w:szCs w:val="24"/>
        </w:rPr>
      </w:pPr>
      <w:r w:rsidRPr="0084230C">
        <w:rPr>
          <w:b/>
          <w:sz w:val="24"/>
          <w:szCs w:val="24"/>
        </w:rPr>
        <w:t>Descripción del procedimiento:</w:t>
      </w:r>
    </w:p>
    <w:p w:rsidR="001A7B20" w:rsidRPr="0084230C" w:rsidRDefault="001A7B20" w:rsidP="0084230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La intervención precisa anestesia, cuyo tipo y modalidad serán valoradas por el Servicio de Anestesia y Reanimación.</w:t>
      </w:r>
    </w:p>
    <w:p w:rsidR="001A7B20" w:rsidRPr="0084230C" w:rsidRDefault="001A7B20" w:rsidP="0084230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Las intervenciones que principalmente pueden realizarse son:</w:t>
      </w:r>
    </w:p>
    <w:p w:rsidR="001A7B20" w:rsidRPr="0084230C" w:rsidRDefault="001A7B20" w:rsidP="0084230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Perforaciones: consiste en perforar el hueso de debajo del cartílago para que se cree un tejido cicatricial</w:t>
      </w:r>
      <w:r w:rsidR="00377BB4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parecido al cartílago sano.</w:t>
      </w:r>
    </w:p>
    <w:p w:rsidR="001A7B20" w:rsidRPr="0084230C" w:rsidRDefault="001A7B20" w:rsidP="0084230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proofErr w:type="spellStart"/>
      <w:r w:rsidRPr="0084230C">
        <w:rPr>
          <w:color w:val="000000"/>
          <w:sz w:val="24"/>
          <w:szCs w:val="24"/>
          <w:lang w:val="es-CL" w:eastAsia="es-CL"/>
        </w:rPr>
        <w:t>Autoinjertos</w:t>
      </w:r>
      <w:proofErr w:type="spellEnd"/>
      <w:r w:rsidRPr="0084230C">
        <w:rPr>
          <w:color w:val="000000"/>
          <w:sz w:val="24"/>
          <w:szCs w:val="24"/>
          <w:lang w:val="es-CL" w:eastAsia="es-CL"/>
        </w:rPr>
        <w:t>: consiste en extraer cilindros de cartílago y hueso de zonas de descarga para colocarlos en</w:t>
      </w:r>
      <w:r w:rsidR="00377BB4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la zona de cartílago dañado.</w:t>
      </w:r>
    </w:p>
    <w:p w:rsidR="001A7B20" w:rsidRPr="0084230C" w:rsidRDefault="001A7B20" w:rsidP="0084230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proofErr w:type="spellStart"/>
      <w:r w:rsidRPr="0084230C">
        <w:rPr>
          <w:color w:val="000000"/>
          <w:sz w:val="24"/>
          <w:szCs w:val="24"/>
          <w:lang w:val="es-CL" w:eastAsia="es-CL"/>
        </w:rPr>
        <w:t>Mosaicoplastia</w:t>
      </w:r>
      <w:proofErr w:type="spellEnd"/>
      <w:r w:rsidRPr="0084230C">
        <w:rPr>
          <w:color w:val="000000"/>
          <w:sz w:val="24"/>
          <w:szCs w:val="24"/>
          <w:lang w:val="es-CL" w:eastAsia="es-CL"/>
        </w:rPr>
        <w:t xml:space="preserve">: es una variante de </w:t>
      </w:r>
      <w:proofErr w:type="spellStart"/>
      <w:r w:rsidRPr="0084230C">
        <w:rPr>
          <w:color w:val="000000"/>
          <w:sz w:val="24"/>
          <w:szCs w:val="24"/>
          <w:lang w:val="es-CL" w:eastAsia="es-CL"/>
        </w:rPr>
        <w:t>autoinjerto</w:t>
      </w:r>
      <w:proofErr w:type="spellEnd"/>
      <w:r w:rsidRPr="0084230C">
        <w:rPr>
          <w:color w:val="000000"/>
          <w:sz w:val="24"/>
          <w:szCs w:val="24"/>
          <w:lang w:val="es-CL" w:eastAsia="es-CL"/>
        </w:rPr>
        <w:t xml:space="preserve"> en el que se extrae uno o varios cilindros de hueso y cartílago</w:t>
      </w:r>
      <w:r w:rsidR="00E143CC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y se incrustan en la zona dañada.</w:t>
      </w:r>
    </w:p>
    <w:p w:rsidR="001A7B20" w:rsidRPr="0084230C" w:rsidRDefault="001A7B20" w:rsidP="0084230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proofErr w:type="spellStart"/>
      <w:r w:rsidRPr="0084230C">
        <w:rPr>
          <w:color w:val="000000"/>
          <w:sz w:val="24"/>
          <w:szCs w:val="24"/>
          <w:lang w:val="es-CL" w:eastAsia="es-CL"/>
        </w:rPr>
        <w:t>Aloinjerto</w:t>
      </w:r>
      <w:proofErr w:type="spellEnd"/>
      <w:r w:rsidRPr="0084230C">
        <w:rPr>
          <w:color w:val="000000"/>
          <w:sz w:val="24"/>
          <w:szCs w:val="24"/>
          <w:lang w:val="es-CL" w:eastAsia="es-CL"/>
        </w:rPr>
        <w:t>: consiste en sustituir la zona lesionada por una pieza similar tallada procedente de un donante</w:t>
      </w:r>
      <w:r w:rsidR="00E143CC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cadáver humano.</w:t>
      </w:r>
    </w:p>
    <w:p w:rsidR="001A7B20" w:rsidRPr="0084230C" w:rsidRDefault="001A7B20" w:rsidP="0084230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Autotrasplante de condrocitos cultivados: en una primera intervención se extraen, mediante artroscopia,</w:t>
      </w:r>
      <w:r w:rsidR="00377BB4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unos pequeños fragmentos de cartílago sano que se cultivan en un banco de tejidos. En una segunda intervención</w:t>
      </w:r>
      <w:r w:rsidR="00E143CC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se implantan estas células de cartílago cultivadas. En la actualidad, ésta es una técnica de uso</w:t>
      </w:r>
      <w:r w:rsidR="00377BB4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 xml:space="preserve">tutelado por el </w:t>
      </w:r>
      <w:proofErr w:type="spellStart"/>
      <w:r w:rsidRPr="0084230C">
        <w:rPr>
          <w:color w:val="000000"/>
          <w:sz w:val="24"/>
          <w:szCs w:val="24"/>
          <w:lang w:val="es-CL" w:eastAsia="es-CL"/>
        </w:rPr>
        <w:t>Insalud</w:t>
      </w:r>
      <w:proofErr w:type="spellEnd"/>
      <w:r w:rsidRPr="0084230C">
        <w:rPr>
          <w:color w:val="000000"/>
          <w:sz w:val="24"/>
          <w:szCs w:val="24"/>
          <w:lang w:val="es-CL" w:eastAsia="es-CL"/>
        </w:rPr>
        <w:t xml:space="preserve"> y sólo es posible su realización en algunos centros reconocidos.</w:t>
      </w:r>
    </w:p>
    <w:p w:rsidR="001A7B20" w:rsidRPr="0084230C" w:rsidRDefault="001A7B20" w:rsidP="0084230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Debe ser el especialista que le trata quien debe recomendarle la técnica más adecuada para su caso específico.</w:t>
      </w:r>
    </w:p>
    <w:p w:rsidR="001A7B20" w:rsidRPr="0084230C" w:rsidRDefault="001A7B20" w:rsidP="0084230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Para algunas de las técnicas empleadas puede ser necesario el uso de implantes metálicos o de otros materiales</w:t>
      </w:r>
      <w:r w:rsidR="00E143CC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dentro del hueso. Estos implantes pueden ser permanentes o bien puede ser necesaria su retirada en una</w:t>
      </w:r>
      <w:r w:rsidR="00E143CC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segunda intervención.</w:t>
      </w:r>
    </w:p>
    <w:p w:rsidR="001A7B20" w:rsidRPr="0084230C" w:rsidRDefault="001A7B20" w:rsidP="0084230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Toda intervención quirúrgica, tanto por la propia técnica operatoria como por la situación vital de cada paciente</w:t>
      </w:r>
      <w:r w:rsidR="00E143CC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(diabetes, cardiopatía, hipertensión, edad avanzada, anemia, obesidad...), lleva implícitas una serie de</w:t>
      </w:r>
      <w:r w:rsidR="00E143CC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 xml:space="preserve">complicaciones, comunes y potencialmente serias, que podrían requerir tratamientos </w:t>
      </w:r>
      <w:r w:rsidR="00E143CC" w:rsidRPr="0084230C">
        <w:rPr>
          <w:color w:val="000000"/>
          <w:sz w:val="24"/>
          <w:szCs w:val="24"/>
          <w:lang w:val="es-CL" w:eastAsia="es-CL"/>
        </w:rPr>
        <w:t xml:space="preserve"> c</w:t>
      </w:r>
      <w:r w:rsidRPr="0084230C">
        <w:rPr>
          <w:color w:val="000000"/>
          <w:sz w:val="24"/>
          <w:szCs w:val="24"/>
          <w:lang w:val="es-CL" w:eastAsia="es-CL"/>
        </w:rPr>
        <w:t>omplementarios, tanto</w:t>
      </w:r>
      <w:r w:rsidR="00E143CC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médicos como quirúrgicos y que, en un mínimo porcentaje de casos, pueden ser causa de muerte.</w:t>
      </w:r>
    </w:p>
    <w:p w:rsidR="00BE6E36" w:rsidRPr="0084230C" w:rsidRDefault="00BE6E36" w:rsidP="0084230C">
      <w:pPr>
        <w:jc w:val="both"/>
        <w:rPr>
          <w:sz w:val="24"/>
          <w:szCs w:val="24"/>
          <w:lang w:val="es-CL"/>
        </w:rPr>
      </w:pPr>
    </w:p>
    <w:p w:rsidR="00BE6E36" w:rsidRPr="0084230C" w:rsidRDefault="00BE6E36" w:rsidP="0084230C">
      <w:pPr>
        <w:jc w:val="both"/>
        <w:rPr>
          <w:b/>
          <w:sz w:val="24"/>
          <w:szCs w:val="24"/>
        </w:rPr>
      </w:pPr>
      <w:r w:rsidRPr="0084230C">
        <w:rPr>
          <w:b/>
          <w:sz w:val="24"/>
          <w:szCs w:val="24"/>
        </w:rPr>
        <w:t>Riesgos del procedimiento:</w:t>
      </w:r>
    </w:p>
    <w:p w:rsidR="001A7B20" w:rsidRPr="0084230C" w:rsidRDefault="001A7B20" w:rsidP="0084230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Las complicaciones de la intervención quirúrgica para TRATAMIENTO QUIRÚRGICO REPARADOR DE LAS LESIONES DEL CARTÍLAGO ARTICULAR pueden ser, entre otras: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Infección de las heridas quirúrgicas o de la articulación.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lastRenderedPageBreak/>
        <w:t>Fracaso de la reparación del cartílago, que puede suponer la necesidad de otra intervención quirúrgica.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 xml:space="preserve">Lesión de estructuras </w:t>
      </w:r>
      <w:proofErr w:type="spellStart"/>
      <w:r w:rsidRPr="0084230C">
        <w:rPr>
          <w:color w:val="000000"/>
          <w:sz w:val="24"/>
          <w:szCs w:val="24"/>
          <w:lang w:val="es-CL" w:eastAsia="es-CL"/>
        </w:rPr>
        <w:t>vasculonerviosas</w:t>
      </w:r>
      <w:proofErr w:type="spellEnd"/>
      <w:r w:rsidRPr="0084230C">
        <w:rPr>
          <w:color w:val="000000"/>
          <w:sz w:val="24"/>
          <w:szCs w:val="24"/>
          <w:lang w:val="es-CL" w:eastAsia="es-CL"/>
        </w:rPr>
        <w:t xml:space="preserve"> adyacentes a la articulación, que pueden llevar a la amputación del</w:t>
      </w:r>
      <w:r w:rsidR="00E143CC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miembro y a secuelas neurológicas irreversibles.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Hemorragia.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Rigidez articular, que puede requerir un largo tiempo de rehabilitación o una nueva intervención para liberar</w:t>
      </w:r>
      <w:r w:rsidR="00E143CC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las adherencias articulares.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Fractura de estructuras óseas cercanas a la articulación durante las manipulaciones requeridas.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Rotura de tendones o ligamentos adyacentes.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Hematomas en zonas adyacentes.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Distrofia simpático-refleja.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 xml:space="preserve">Síndrome </w:t>
      </w:r>
      <w:proofErr w:type="spellStart"/>
      <w:r w:rsidRPr="0084230C">
        <w:rPr>
          <w:color w:val="000000"/>
          <w:sz w:val="24"/>
          <w:szCs w:val="24"/>
          <w:lang w:val="es-CL" w:eastAsia="es-CL"/>
        </w:rPr>
        <w:t>compartimental</w:t>
      </w:r>
      <w:proofErr w:type="spellEnd"/>
      <w:r w:rsidRPr="0084230C">
        <w:rPr>
          <w:color w:val="000000"/>
          <w:sz w:val="24"/>
          <w:szCs w:val="24"/>
          <w:lang w:val="es-CL" w:eastAsia="es-CL"/>
        </w:rPr>
        <w:t>.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Fallos y roturas del material empleado.</w:t>
      </w:r>
    </w:p>
    <w:p w:rsidR="001A7B20" w:rsidRPr="0084230C" w:rsidRDefault="001A7B20" w:rsidP="0084230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Trombosis venosa y, eventualmente, tromboembolismo pulmonar de graves consecuencias.</w:t>
      </w:r>
    </w:p>
    <w:p w:rsidR="00BE6E36" w:rsidRPr="0084230C" w:rsidRDefault="00BE6E36" w:rsidP="0084230C">
      <w:pPr>
        <w:jc w:val="both"/>
        <w:rPr>
          <w:sz w:val="24"/>
          <w:szCs w:val="24"/>
        </w:rPr>
      </w:pPr>
    </w:p>
    <w:p w:rsidR="00BE6E36" w:rsidRPr="0084230C" w:rsidRDefault="00BE6E36" w:rsidP="0084230C">
      <w:pPr>
        <w:jc w:val="both"/>
        <w:rPr>
          <w:b/>
          <w:sz w:val="24"/>
          <w:szCs w:val="24"/>
        </w:rPr>
      </w:pPr>
      <w:r w:rsidRPr="0084230C">
        <w:rPr>
          <w:b/>
          <w:sz w:val="24"/>
          <w:szCs w:val="24"/>
        </w:rPr>
        <w:t>Alternativas al procedimiento propuesto:</w:t>
      </w:r>
    </w:p>
    <w:p w:rsidR="00E143CC" w:rsidRPr="0084230C" w:rsidRDefault="00E143CC" w:rsidP="0084230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84230C">
        <w:rPr>
          <w:color w:val="000000"/>
          <w:sz w:val="24"/>
          <w:szCs w:val="24"/>
          <w:lang w:val="es-CL" w:eastAsia="es-CL"/>
        </w:rPr>
        <w:t>Como alternativa al procedimiento propuesto podrá seguir con tratamiento analgésico y antiinflamatorio, procurar</w:t>
      </w:r>
      <w:r w:rsidR="00377BB4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limitar la actividad física, evitando los movimientos intensos. Precisará un programa de rehabilitación. Con dicho</w:t>
      </w:r>
      <w:r w:rsidR="00377BB4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tratamiento sólo mejoran parcialmente los síntomas no consiguiendo, por lo general, evitar nuevos episodios de</w:t>
      </w:r>
      <w:r w:rsidR="00377BB4" w:rsidRPr="0084230C">
        <w:rPr>
          <w:color w:val="000000"/>
          <w:sz w:val="24"/>
          <w:szCs w:val="24"/>
          <w:lang w:val="es-CL" w:eastAsia="es-CL"/>
        </w:rPr>
        <w:t xml:space="preserve"> </w:t>
      </w:r>
      <w:r w:rsidRPr="0084230C">
        <w:rPr>
          <w:color w:val="000000"/>
          <w:sz w:val="24"/>
          <w:szCs w:val="24"/>
          <w:lang w:val="es-CL" w:eastAsia="es-CL"/>
        </w:rPr>
        <w:t>dolor o un deterioro progresivo de la articulación.</w:t>
      </w:r>
    </w:p>
    <w:p w:rsidR="00BE6E36" w:rsidRPr="0084230C" w:rsidRDefault="00BE6E36" w:rsidP="0084230C">
      <w:pPr>
        <w:jc w:val="both"/>
        <w:rPr>
          <w:sz w:val="24"/>
          <w:szCs w:val="24"/>
        </w:rPr>
      </w:pPr>
    </w:p>
    <w:p w:rsidR="00BE6E36" w:rsidRPr="0084230C" w:rsidRDefault="00BE6E36" w:rsidP="0084230C">
      <w:pPr>
        <w:jc w:val="both"/>
        <w:rPr>
          <w:b/>
          <w:sz w:val="24"/>
          <w:szCs w:val="24"/>
        </w:rPr>
      </w:pPr>
      <w:r w:rsidRPr="0084230C">
        <w:rPr>
          <w:b/>
          <w:sz w:val="24"/>
          <w:szCs w:val="24"/>
        </w:rPr>
        <w:t>Consecuencias de no aceptar el procedimiento:</w:t>
      </w:r>
    </w:p>
    <w:p w:rsidR="00BE6E36" w:rsidRPr="0084230C" w:rsidRDefault="0028592D" w:rsidP="0084230C">
      <w:pPr>
        <w:jc w:val="both"/>
        <w:rPr>
          <w:sz w:val="24"/>
          <w:szCs w:val="24"/>
        </w:rPr>
      </w:pPr>
      <w:r w:rsidRPr="0084230C">
        <w:rPr>
          <w:sz w:val="24"/>
          <w:szCs w:val="24"/>
        </w:rPr>
        <w:t>Deterioro  progresivo de la articulación alterada llevando al dolor, limitación funcional, incapacidad motriz.</w:t>
      </w:r>
    </w:p>
    <w:p w:rsidR="0067587B" w:rsidRPr="0084230C" w:rsidRDefault="0067587B" w:rsidP="0084230C">
      <w:pPr>
        <w:jc w:val="both"/>
        <w:rPr>
          <w:b/>
          <w:sz w:val="24"/>
          <w:szCs w:val="24"/>
        </w:rPr>
      </w:pPr>
    </w:p>
    <w:p w:rsidR="00BE6E36" w:rsidRPr="0084230C" w:rsidRDefault="00BE6E36" w:rsidP="0084230C">
      <w:pPr>
        <w:jc w:val="both"/>
        <w:rPr>
          <w:b/>
          <w:sz w:val="24"/>
          <w:szCs w:val="24"/>
        </w:rPr>
      </w:pPr>
      <w:r w:rsidRPr="0084230C">
        <w:rPr>
          <w:b/>
          <w:sz w:val="24"/>
          <w:szCs w:val="24"/>
        </w:rPr>
        <w:t>Mecanismo para solicitar más información:</w:t>
      </w:r>
    </w:p>
    <w:p w:rsidR="00BE6E36" w:rsidRPr="0084230C" w:rsidRDefault="0028592D" w:rsidP="0084230C">
      <w:pPr>
        <w:jc w:val="both"/>
        <w:rPr>
          <w:sz w:val="24"/>
          <w:szCs w:val="24"/>
        </w:rPr>
      </w:pPr>
      <w:r w:rsidRPr="0084230C">
        <w:rPr>
          <w:sz w:val="24"/>
          <w:szCs w:val="24"/>
        </w:rPr>
        <w:t xml:space="preserve">Su </w:t>
      </w:r>
      <w:r w:rsidR="00BE6E36" w:rsidRPr="0084230C">
        <w:rPr>
          <w:sz w:val="24"/>
          <w:szCs w:val="24"/>
        </w:rPr>
        <w:t>médico tratante, Jefe d</w:t>
      </w:r>
      <w:r w:rsidRPr="0084230C">
        <w:rPr>
          <w:sz w:val="24"/>
          <w:szCs w:val="24"/>
        </w:rPr>
        <w:t>e Servicio</w:t>
      </w:r>
      <w:r w:rsidR="006644EA" w:rsidRPr="0084230C">
        <w:rPr>
          <w:sz w:val="24"/>
          <w:szCs w:val="24"/>
        </w:rPr>
        <w:t>.</w:t>
      </w:r>
    </w:p>
    <w:p w:rsidR="001A7B20" w:rsidRPr="0084230C" w:rsidRDefault="001A7B20" w:rsidP="0084230C">
      <w:pPr>
        <w:jc w:val="both"/>
        <w:rPr>
          <w:sz w:val="24"/>
          <w:szCs w:val="24"/>
        </w:rPr>
      </w:pPr>
    </w:p>
    <w:p w:rsidR="00D50F8A" w:rsidRPr="0084230C" w:rsidRDefault="00D50F8A" w:rsidP="0084230C">
      <w:pPr>
        <w:pStyle w:val="Default"/>
        <w:jc w:val="both"/>
      </w:pPr>
      <w:r w:rsidRPr="0084230C">
        <w:rPr>
          <w:b/>
          <w:bCs/>
        </w:rPr>
        <w:t xml:space="preserve">Revocabilidad </w:t>
      </w:r>
    </w:p>
    <w:p w:rsidR="00D50F8A" w:rsidRPr="0084230C" w:rsidRDefault="00D50F8A" w:rsidP="0084230C">
      <w:pPr>
        <w:pStyle w:val="Textoindependiente"/>
        <w:rPr>
          <w:rFonts w:ascii="Times New Roman" w:hAnsi="Times New Roman"/>
          <w:b/>
          <w:bCs/>
          <w:szCs w:val="24"/>
        </w:rPr>
      </w:pPr>
      <w:r w:rsidRPr="0084230C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D50F8A" w:rsidRPr="0084230C" w:rsidSect="0084230C">
      <w:pgSz w:w="12240" w:h="15840" w:code="1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32DBF"/>
    <w:multiLevelType w:val="hybridMultilevel"/>
    <w:tmpl w:val="48404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E9D"/>
    <w:multiLevelType w:val="hybridMultilevel"/>
    <w:tmpl w:val="40AEBC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91884"/>
    <w:multiLevelType w:val="hybridMultilevel"/>
    <w:tmpl w:val="46C42B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A1D73"/>
    <w:multiLevelType w:val="hybridMultilevel"/>
    <w:tmpl w:val="E6E6BC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351DF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4C29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A7B20"/>
    <w:rsid w:val="001B003D"/>
    <w:rsid w:val="001B4848"/>
    <w:rsid w:val="001B67C9"/>
    <w:rsid w:val="001D0A48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8592D"/>
    <w:rsid w:val="002A240C"/>
    <w:rsid w:val="002A34BE"/>
    <w:rsid w:val="002B19B1"/>
    <w:rsid w:val="002D2748"/>
    <w:rsid w:val="002D78A0"/>
    <w:rsid w:val="002E6FAD"/>
    <w:rsid w:val="002F1C99"/>
    <w:rsid w:val="002F4903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77BB4"/>
    <w:rsid w:val="00385491"/>
    <w:rsid w:val="0038730C"/>
    <w:rsid w:val="00390A0E"/>
    <w:rsid w:val="003923A5"/>
    <w:rsid w:val="00395E53"/>
    <w:rsid w:val="00397C0A"/>
    <w:rsid w:val="003B39BD"/>
    <w:rsid w:val="003C504E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648C9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60C1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644EA"/>
    <w:rsid w:val="00670356"/>
    <w:rsid w:val="006714D4"/>
    <w:rsid w:val="0067587B"/>
    <w:rsid w:val="00680A05"/>
    <w:rsid w:val="00694F56"/>
    <w:rsid w:val="00695BA0"/>
    <w:rsid w:val="006979B8"/>
    <w:rsid w:val="006A2CB3"/>
    <w:rsid w:val="006A6841"/>
    <w:rsid w:val="006D3095"/>
    <w:rsid w:val="006D5E2D"/>
    <w:rsid w:val="006E2631"/>
    <w:rsid w:val="006E2EB7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4230C"/>
    <w:rsid w:val="00871B95"/>
    <w:rsid w:val="00884F9E"/>
    <w:rsid w:val="0089519D"/>
    <w:rsid w:val="008A141F"/>
    <w:rsid w:val="008A2DFE"/>
    <w:rsid w:val="008B3258"/>
    <w:rsid w:val="008B5DD9"/>
    <w:rsid w:val="008C2BB9"/>
    <w:rsid w:val="008C3422"/>
    <w:rsid w:val="008E4B08"/>
    <w:rsid w:val="008E4DA0"/>
    <w:rsid w:val="008F3B9C"/>
    <w:rsid w:val="008F4D4A"/>
    <w:rsid w:val="008F6EAD"/>
    <w:rsid w:val="0091054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16D00"/>
    <w:rsid w:val="00B23DCC"/>
    <w:rsid w:val="00B26D89"/>
    <w:rsid w:val="00B33612"/>
    <w:rsid w:val="00B3755B"/>
    <w:rsid w:val="00B54479"/>
    <w:rsid w:val="00B63B4C"/>
    <w:rsid w:val="00B74333"/>
    <w:rsid w:val="00B768B2"/>
    <w:rsid w:val="00B805B8"/>
    <w:rsid w:val="00B9674E"/>
    <w:rsid w:val="00BA0A9C"/>
    <w:rsid w:val="00BA2D11"/>
    <w:rsid w:val="00BA3F59"/>
    <w:rsid w:val="00BA5F6C"/>
    <w:rsid w:val="00BB350D"/>
    <w:rsid w:val="00BB35FC"/>
    <w:rsid w:val="00BD46B5"/>
    <w:rsid w:val="00BD67DC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0F8A"/>
    <w:rsid w:val="00D52A9A"/>
    <w:rsid w:val="00D636C4"/>
    <w:rsid w:val="00D64F2C"/>
    <w:rsid w:val="00D6527C"/>
    <w:rsid w:val="00D7040F"/>
    <w:rsid w:val="00D73547"/>
    <w:rsid w:val="00D80F84"/>
    <w:rsid w:val="00D81775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3CC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87D9E"/>
    <w:rsid w:val="00E90377"/>
    <w:rsid w:val="00EB348B"/>
    <w:rsid w:val="00EC49FA"/>
    <w:rsid w:val="00ED2AD0"/>
    <w:rsid w:val="00EE15E7"/>
    <w:rsid w:val="00EF099B"/>
    <w:rsid w:val="00F07D77"/>
    <w:rsid w:val="00F245C8"/>
    <w:rsid w:val="00F30AE8"/>
    <w:rsid w:val="00F4340E"/>
    <w:rsid w:val="00F53FEA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50F8A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0F8A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84230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50F8A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0F8A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8423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hospitalcurico.cl/projects/consentimient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0123-C84B-448E-A10C-F1C1E2D9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2013-09-25T15:41:00Z</cp:lastPrinted>
  <dcterms:created xsi:type="dcterms:W3CDTF">2017-09-20T19:41:00Z</dcterms:created>
  <dcterms:modified xsi:type="dcterms:W3CDTF">2021-06-08T16:00:00Z</dcterms:modified>
</cp:coreProperties>
</file>