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70" w:rsidRDefault="00AB7D70" w:rsidP="00AB7D70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145228F" wp14:editId="444B9AF8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D70" w:rsidRDefault="00AB7D70" w:rsidP="00AB7D70">
      <w:pPr>
        <w:jc w:val="center"/>
        <w:rPr>
          <w:b/>
          <w:sz w:val="24"/>
          <w:szCs w:val="24"/>
          <w:u w:val="single"/>
        </w:rPr>
      </w:pPr>
    </w:p>
    <w:p w:rsidR="00AB7D70" w:rsidRPr="00FD1415" w:rsidRDefault="00AB7D70" w:rsidP="00AB7D70">
      <w:pPr>
        <w:jc w:val="center"/>
        <w:rPr>
          <w:b/>
          <w:sz w:val="24"/>
          <w:szCs w:val="24"/>
          <w:u w:val="single"/>
          <w:lang w:eastAsia="en-US"/>
        </w:rPr>
      </w:pPr>
      <w:r w:rsidRPr="00FD1415">
        <w:rPr>
          <w:b/>
          <w:sz w:val="24"/>
          <w:szCs w:val="24"/>
          <w:u w:val="single"/>
        </w:rPr>
        <w:t xml:space="preserve">INFORMACIÓN PARA PACIENTES: </w:t>
      </w:r>
      <w:r w:rsidRPr="00FD1415">
        <w:rPr>
          <w:b/>
          <w:sz w:val="24"/>
          <w:szCs w:val="24"/>
          <w:u w:val="single"/>
        </w:rPr>
        <w:br/>
        <w:t>“</w:t>
      </w:r>
      <w:r w:rsidRPr="000C29CC">
        <w:rPr>
          <w:b/>
          <w:sz w:val="24"/>
          <w:szCs w:val="24"/>
          <w:u w:val="single"/>
        </w:rPr>
        <w:t>ENTESITIS Y TENOSIVITIS</w:t>
      </w:r>
      <w:r w:rsidRPr="00FD1415">
        <w:rPr>
          <w:b/>
          <w:sz w:val="24"/>
          <w:szCs w:val="24"/>
          <w:u w:val="single"/>
        </w:rPr>
        <w:t>”</w:t>
      </w:r>
    </w:p>
    <w:p w:rsidR="00AB7D70" w:rsidRDefault="00AB7D70" w:rsidP="00AB7D70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7D70" w:rsidRPr="00AB7D70" w:rsidRDefault="00AB7D70" w:rsidP="00AB7D70">
      <w:pPr>
        <w:tabs>
          <w:tab w:val="center" w:pos="4986"/>
          <w:tab w:val="left" w:pos="6810"/>
        </w:tabs>
        <w:jc w:val="both"/>
        <w:rPr>
          <w:sz w:val="22"/>
          <w:szCs w:val="22"/>
        </w:rPr>
      </w:pPr>
      <w:bookmarkStart w:id="0" w:name="_GoBack"/>
      <w:r w:rsidRPr="00AB7D70">
        <w:rPr>
          <w:sz w:val="22"/>
          <w:szCs w:val="22"/>
        </w:rPr>
        <w:t>El presente documento permite entregar información al paciente respecto a la cirugía específica  a realizar,  por lo que NO CONSTITUYE  EL CONSENTIMIENTO INFORMADO.</w:t>
      </w:r>
    </w:p>
    <w:p w:rsidR="00AB7D70" w:rsidRPr="00AB7D70" w:rsidRDefault="00AB7D70" w:rsidP="00AB7D70">
      <w:pPr>
        <w:tabs>
          <w:tab w:val="center" w:pos="4986"/>
          <w:tab w:val="left" w:pos="6810"/>
        </w:tabs>
        <w:jc w:val="both"/>
        <w:rPr>
          <w:sz w:val="22"/>
          <w:szCs w:val="22"/>
        </w:rPr>
      </w:pPr>
    </w:p>
    <w:p w:rsidR="00AB7D70" w:rsidRPr="00AB7D70" w:rsidRDefault="00AB7D70" w:rsidP="00AB7D70">
      <w:pPr>
        <w:tabs>
          <w:tab w:val="left" w:pos="3135"/>
        </w:tabs>
        <w:jc w:val="both"/>
        <w:rPr>
          <w:b/>
          <w:i/>
          <w:sz w:val="22"/>
          <w:szCs w:val="22"/>
          <w:u w:val="single"/>
        </w:rPr>
      </w:pPr>
      <w:r w:rsidRPr="00AB7D70">
        <w:rPr>
          <w:sz w:val="22"/>
          <w:szCs w:val="22"/>
        </w:rPr>
        <w:t xml:space="preserve">El  CONSENTIMIENTO INFORMADO, debe ser  llenado en el formulario en  la página web: www.hospitalcurico.cl,  en el enlace: </w:t>
      </w:r>
      <w:hyperlink r:id="rId7" w:history="1">
        <w:r w:rsidRPr="00AB7D70">
          <w:rPr>
            <w:rStyle w:val="Hipervnculo"/>
            <w:b/>
            <w:i/>
            <w:color w:val="auto"/>
            <w:sz w:val="22"/>
            <w:szCs w:val="22"/>
          </w:rPr>
          <w:t>https://intranet.hospitalcurico.cl/projects/consentimiento</w:t>
        </w:r>
      </w:hyperlink>
    </w:p>
    <w:bookmarkEnd w:id="0"/>
    <w:p w:rsidR="005104CA" w:rsidRPr="00AB7D70" w:rsidRDefault="005104CA" w:rsidP="00AB7D70">
      <w:pPr>
        <w:jc w:val="both"/>
        <w:rPr>
          <w:b/>
          <w:sz w:val="22"/>
          <w:szCs w:val="22"/>
        </w:rPr>
      </w:pPr>
    </w:p>
    <w:p w:rsidR="00BE6E36" w:rsidRPr="00AB7D70" w:rsidRDefault="00BE6E36" w:rsidP="00AB7D70">
      <w:pPr>
        <w:jc w:val="both"/>
        <w:rPr>
          <w:b/>
          <w:sz w:val="22"/>
          <w:szCs w:val="22"/>
        </w:rPr>
      </w:pPr>
    </w:p>
    <w:p w:rsidR="00BE6E36" w:rsidRPr="00AB7D70" w:rsidRDefault="00BE6E36" w:rsidP="00AB7D70">
      <w:pPr>
        <w:jc w:val="both"/>
        <w:rPr>
          <w:b/>
          <w:sz w:val="22"/>
          <w:szCs w:val="22"/>
        </w:rPr>
      </w:pPr>
      <w:r w:rsidRPr="00AB7D70">
        <w:rPr>
          <w:b/>
          <w:sz w:val="22"/>
          <w:szCs w:val="22"/>
        </w:rPr>
        <w:t>Objetivos del procedimiento:</w:t>
      </w:r>
    </w:p>
    <w:p w:rsidR="00546B4F" w:rsidRPr="00AB7D70" w:rsidRDefault="00546B4F" w:rsidP="00AB7D7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El propósito principal de la intervención es disminuir el dolor y la inflamación de las inserciones o trayectos</w:t>
      </w:r>
      <w:r w:rsidR="00683626" w:rsidRPr="00AB7D70">
        <w:rPr>
          <w:color w:val="000000"/>
          <w:sz w:val="22"/>
          <w:szCs w:val="22"/>
          <w:lang w:val="es-CL" w:eastAsia="es-CL"/>
        </w:rPr>
        <w:t xml:space="preserve"> </w:t>
      </w:r>
      <w:r w:rsidRPr="00AB7D70">
        <w:rPr>
          <w:color w:val="000000"/>
          <w:sz w:val="22"/>
          <w:szCs w:val="22"/>
          <w:lang w:val="es-CL" w:eastAsia="es-CL"/>
        </w:rPr>
        <w:t>tendinosos y mejorar la función de los tendones.</w:t>
      </w:r>
    </w:p>
    <w:p w:rsidR="00546B4F" w:rsidRPr="00AB7D70" w:rsidRDefault="00546B4F" w:rsidP="00AB7D7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CL" w:eastAsia="es-CL"/>
        </w:rPr>
      </w:pPr>
    </w:p>
    <w:p w:rsidR="00BE6E36" w:rsidRPr="00AB7D70" w:rsidRDefault="00BE6E36" w:rsidP="00AB7D70">
      <w:pPr>
        <w:jc w:val="both"/>
        <w:rPr>
          <w:b/>
          <w:sz w:val="22"/>
          <w:szCs w:val="22"/>
        </w:rPr>
      </w:pPr>
      <w:r w:rsidRPr="00AB7D70">
        <w:rPr>
          <w:b/>
          <w:sz w:val="22"/>
          <w:szCs w:val="22"/>
        </w:rPr>
        <w:t>Descripción del procedimiento:</w:t>
      </w:r>
    </w:p>
    <w:p w:rsidR="002A5329" w:rsidRPr="00AB7D70" w:rsidRDefault="002A5329" w:rsidP="00AB7D7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La intervención puede precisar anestesia, cuyo tipo y modalidad serán valoradas por el Servicio de Anestesia</w:t>
      </w:r>
      <w:r w:rsidR="00683626" w:rsidRPr="00AB7D70">
        <w:rPr>
          <w:color w:val="000000"/>
          <w:sz w:val="22"/>
          <w:szCs w:val="22"/>
          <w:lang w:val="es-CL" w:eastAsia="es-CL"/>
        </w:rPr>
        <w:t xml:space="preserve"> </w:t>
      </w:r>
      <w:r w:rsidRPr="00AB7D70">
        <w:rPr>
          <w:color w:val="000000"/>
          <w:sz w:val="22"/>
          <w:szCs w:val="22"/>
          <w:lang w:val="es-CL" w:eastAsia="es-CL"/>
        </w:rPr>
        <w:t>y Reanimación.</w:t>
      </w:r>
    </w:p>
    <w:p w:rsidR="00683626" w:rsidRPr="00AB7D70" w:rsidRDefault="00683626" w:rsidP="00AB7D7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 xml:space="preserve">La intervención consiste en resecar el tejido crónicamente inflamado, ya sea vaina sinovial, </w:t>
      </w:r>
      <w:proofErr w:type="spellStart"/>
      <w:r w:rsidRPr="00AB7D70">
        <w:rPr>
          <w:color w:val="000000"/>
          <w:sz w:val="22"/>
          <w:szCs w:val="22"/>
          <w:lang w:val="es-CL" w:eastAsia="es-CL"/>
        </w:rPr>
        <w:t>bursa</w:t>
      </w:r>
      <w:proofErr w:type="spellEnd"/>
      <w:r w:rsidRPr="00AB7D70">
        <w:rPr>
          <w:color w:val="000000"/>
          <w:sz w:val="22"/>
          <w:szCs w:val="22"/>
          <w:lang w:val="es-CL" w:eastAsia="es-CL"/>
        </w:rPr>
        <w:t xml:space="preserve"> o polea tendinosa y </w:t>
      </w:r>
      <w:proofErr w:type="spellStart"/>
      <w:r w:rsidRPr="00AB7D70">
        <w:rPr>
          <w:color w:val="000000"/>
          <w:sz w:val="22"/>
          <w:szCs w:val="22"/>
          <w:lang w:val="es-CL" w:eastAsia="es-CL"/>
        </w:rPr>
        <w:t>desinsertar</w:t>
      </w:r>
      <w:proofErr w:type="spellEnd"/>
      <w:r w:rsidRPr="00AB7D70">
        <w:rPr>
          <w:color w:val="000000"/>
          <w:sz w:val="22"/>
          <w:szCs w:val="22"/>
          <w:lang w:val="es-CL" w:eastAsia="es-CL"/>
        </w:rPr>
        <w:t xml:space="preserve"> total o parcialmente, si es necesario, la intersección tendinosa inflamada.</w:t>
      </w:r>
    </w:p>
    <w:p w:rsidR="00BE6E36" w:rsidRPr="00AB7D70" w:rsidRDefault="00BE6E36" w:rsidP="00AB7D70">
      <w:pPr>
        <w:jc w:val="both"/>
        <w:rPr>
          <w:sz w:val="22"/>
          <w:szCs w:val="22"/>
        </w:rPr>
      </w:pPr>
    </w:p>
    <w:p w:rsidR="00BE6E36" w:rsidRPr="00AB7D70" w:rsidRDefault="00BE6E36" w:rsidP="00AB7D70">
      <w:pPr>
        <w:jc w:val="both"/>
        <w:rPr>
          <w:b/>
          <w:sz w:val="22"/>
          <w:szCs w:val="22"/>
        </w:rPr>
      </w:pPr>
      <w:r w:rsidRPr="00AB7D70">
        <w:rPr>
          <w:b/>
          <w:sz w:val="22"/>
          <w:szCs w:val="22"/>
        </w:rPr>
        <w:t>Riesgos del procedimiento:</w:t>
      </w:r>
    </w:p>
    <w:p w:rsidR="002A5329" w:rsidRPr="00AB7D70" w:rsidRDefault="002A5329" w:rsidP="00AB7D7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Toda intervención quirúrgica, tanto por la propia técnica operatoria como por la situación vital de cada paciente</w:t>
      </w:r>
      <w:r w:rsidR="00683626" w:rsidRPr="00AB7D70">
        <w:rPr>
          <w:color w:val="000000"/>
          <w:sz w:val="22"/>
          <w:szCs w:val="22"/>
          <w:lang w:val="es-CL" w:eastAsia="es-CL"/>
        </w:rPr>
        <w:t xml:space="preserve"> </w:t>
      </w:r>
      <w:r w:rsidRPr="00AB7D70">
        <w:rPr>
          <w:color w:val="000000"/>
          <w:sz w:val="22"/>
          <w:szCs w:val="22"/>
          <w:lang w:val="es-CL" w:eastAsia="es-CL"/>
        </w:rPr>
        <w:t>(diabetes, cardiopatía, hipertensión, edad avanzada, anemia, obesidad...), lleva implícitas una serie de</w:t>
      </w:r>
      <w:r w:rsidR="00683626" w:rsidRPr="00AB7D70">
        <w:rPr>
          <w:color w:val="000000"/>
          <w:sz w:val="22"/>
          <w:szCs w:val="22"/>
          <w:lang w:val="es-CL" w:eastAsia="es-CL"/>
        </w:rPr>
        <w:t xml:space="preserve"> </w:t>
      </w:r>
      <w:r w:rsidRPr="00AB7D70">
        <w:rPr>
          <w:color w:val="000000"/>
          <w:sz w:val="22"/>
          <w:szCs w:val="22"/>
          <w:lang w:val="es-CL" w:eastAsia="es-CL"/>
        </w:rPr>
        <w:t>complicaciones, comunes y potencialmente serias, que podrían requerir tratamientos complementarios, tanto</w:t>
      </w:r>
      <w:r w:rsidR="00683626" w:rsidRPr="00AB7D70">
        <w:rPr>
          <w:color w:val="000000"/>
          <w:sz w:val="22"/>
          <w:szCs w:val="22"/>
          <w:lang w:val="es-CL" w:eastAsia="es-CL"/>
        </w:rPr>
        <w:t xml:space="preserve"> </w:t>
      </w:r>
      <w:r w:rsidRPr="00AB7D70">
        <w:rPr>
          <w:color w:val="000000"/>
          <w:sz w:val="22"/>
          <w:szCs w:val="22"/>
          <w:lang w:val="es-CL" w:eastAsia="es-CL"/>
        </w:rPr>
        <w:t>médicos como quirúrgicos y que, en un mínimo porcentaje de casos, pueden ser causa de muerte.</w:t>
      </w:r>
    </w:p>
    <w:p w:rsidR="002A5329" w:rsidRPr="00AB7D70" w:rsidRDefault="002A5329" w:rsidP="00AB7D7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L</w:t>
      </w:r>
      <w:r w:rsidR="00683626" w:rsidRPr="00AB7D70">
        <w:rPr>
          <w:color w:val="000000"/>
          <w:sz w:val="22"/>
          <w:szCs w:val="22"/>
          <w:lang w:val="es-CL" w:eastAsia="es-CL"/>
        </w:rPr>
        <w:t>os riesgos</w:t>
      </w:r>
      <w:r w:rsidRPr="00AB7D70">
        <w:rPr>
          <w:color w:val="000000"/>
          <w:sz w:val="22"/>
          <w:szCs w:val="22"/>
          <w:lang w:val="es-CL" w:eastAsia="es-CL"/>
        </w:rPr>
        <w:t xml:space="preserve"> de la intervención quirúrgica en el TRATAMIENTO DE ENTESITIS O TENOSINOVITIS pueden ser:</w:t>
      </w:r>
    </w:p>
    <w:p w:rsidR="002A5329" w:rsidRPr="00AB7D70" w:rsidRDefault="002A5329" w:rsidP="00AB7D70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Infección de la herida quirúrgica.</w:t>
      </w:r>
    </w:p>
    <w:p w:rsidR="002A5329" w:rsidRPr="00AB7D70" w:rsidRDefault="002A5329" w:rsidP="00AB7D70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 xml:space="preserve">Lesión de estructuras </w:t>
      </w:r>
      <w:proofErr w:type="spellStart"/>
      <w:r w:rsidRPr="00AB7D70">
        <w:rPr>
          <w:color w:val="000000"/>
          <w:sz w:val="22"/>
          <w:szCs w:val="22"/>
          <w:lang w:val="es-CL" w:eastAsia="es-CL"/>
        </w:rPr>
        <w:t>neurovasculares</w:t>
      </w:r>
      <w:proofErr w:type="spellEnd"/>
      <w:r w:rsidRPr="00AB7D70">
        <w:rPr>
          <w:color w:val="000000"/>
          <w:sz w:val="22"/>
          <w:szCs w:val="22"/>
          <w:lang w:val="es-CL" w:eastAsia="es-CL"/>
        </w:rPr>
        <w:t xml:space="preserve"> adyacentes.</w:t>
      </w:r>
    </w:p>
    <w:p w:rsidR="002A5329" w:rsidRPr="00AB7D70" w:rsidRDefault="002A5329" w:rsidP="00AB7D70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La lesión o compresión de pequeñas ramas nerviosas superficiales puede producir neuromas dolorosos,</w:t>
      </w:r>
      <w:r w:rsidR="00683626" w:rsidRPr="00AB7D70">
        <w:rPr>
          <w:color w:val="000000"/>
          <w:sz w:val="22"/>
          <w:szCs w:val="22"/>
          <w:lang w:val="es-CL" w:eastAsia="es-CL"/>
        </w:rPr>
        <w:t xml:space="preserve"> </w:t>
      </w:r>
      <w:proofErr w:type="spellStart"/>
      <w:r w:rsidRPr="00AB7D70">
        <w:rPr>
          <w:color w:val="000000"/>
          <w:sz w:val="22"/>
          <w:szCs w:val="22"/>
          <w:lang w:val="es-CL" w:eastAsia="es-CL"/>
        </w:rPr>
        <w:t>hipoestesias</w:t>
      </w:r>
      <w:proofErr w:type="spellEnd"/>
      <w:r w:rsidRPr="00AB7D70">
        <w:rPr>
          <w:color w:val="000000"/>
          <w:sz w:val="22"/>
          <w:szCs w:val="22"/>
          <w:lang w:val="es-CL" w:eastAsia="es-CL"/>
        </w:rPr>
        <w:t xml:space="preserve"> u hormigueos en áreas próximas a la incisión quirúrgica.</w:t>
      </w:r>
    </w:p>
    <w:p w:rsidR="002A5329" w:rsidRPr="00AB7D70" w:rsidRDefault="002A5329" w:rsidP="00AB7D70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Cicatriz dolorosa.</w:t>
      </w:r>
    </w:p>
    <w:p w:rsidR="002A5329" w:rsidRPr="00AB7D70" w:rsidRDefault="002A5329" w:rsidP="00AB7D70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La resección de las zonas afectas puede debilitar el tendón, con lo que se puede romper secundariamente.</w:t>
      </w:r>
    </w:p>
    <w:p w:rsidR="002A5329" w:rsidRPr="00AB7D70" w:rsidRDefault="002A5329" w:rsidP="00AB7D70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Recurrencia de los síntomas que requiera una nueva intervención.</w:t>
      </w:r>
    </w:p>
    <w:p w:rsidR="002A5329" w:rsidRPr="00AB7D70" w:rsidRDefault="002A5329" w:rsidP="00AB7D70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Necrosis cutánea.</w:t>
      </w:r>
    </w:p>
    <w:p w:rsidR="002A5329" w:rsidRPr="00AB7D70" w:rsidRDefault="002A5329" w:rsidP="00AB7D70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Distrofia simpático-refleja.</w:t>
      </w:r>
    </w:p>
    <w:p w:rsidR="00BE6E36" w:rsidRPr="00AB7D70" w:rsidRDefault="00BE6E36" w:rsidP="00AB7D70">
      <w:pPr>
        <w:jc w:val="both"/>
        <w:rPr>
          <w:sz w:val="22"/>
          <w:szCs w:val="22"/>
          <w:lang w:val="es-CL"/>
        </w:rPr>
      </w:pPr>
    </w:p>
    <w:p w:rsidR="00BE6E36" w:rsidRPr="00AB7D70" w:rsidRDefault="00BE6E36" w:rsidP="00AB7D70">
      <w:pPr>
        <w:jc w:val="both"/>
        <w:rPr>
          <w:b/>
          <w:sz w:val="22"/>
          <w:szCs w:val="22"/>
        </w:rPr>
      </w:pPr>
      <w:r w:rsidRPr="00AB7D70">
        <w:rPr>
          <w:b/>
          <w:sz w:val="22"/>
          <w:szCs w:val="22"/>
        </w:rPr>
        <w:t>Alternativas al procedimiento propuesto:</w:t>
      </w:r>
    </w:p>
    <w:p w:rsidR="00683626" w:rsidRPr="00AB7D70" w:rsidRDefault="00683626" w:rsidP="00AB7D70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s-CL" w:eastAsia="es-CL"/>
        </w:rPr>
      </w:pPr>
      <w:r w:rsidRPr="00AB7D70">
        <w:rPr>
          <w:color w:val="000000"/>
          <w:sz w:val="22"/>
          <w:szCs w:val="22"/>
          <w:lang w:val="es-CL" w:eastAsia="es-CL"/>
        </w:rPr>
        <w:t>Como alternativa al procedimiento propuesto podrá seguir con tratamiento analgésico y antiinflamatorio, efectuar reposo relativo y descargar la articulación afecta. Dicho tratamiento sólo mejora los síntomas temporalmente.</w:t>
      </w:r>
    </w:p>
    <w:p w:rsidR="00BE6E36" w:rsidRPr="00AB7D70" w:rsidRDefault="00BE6E36" w:rsidP="00AB7D70">
      <w:pPr>
        <w:jc w:val="both"/>
        <w:rPr>
          <w:sz w:val="22"/>
          <w:szCs w:val="22"/>
        </w:rPr>
      </w:pPr>
    </w:p>
    <w:p w:rsidR="00BE6E36" w:rsidRPr="00AB7D70" w:rsidRDefault="00BE6E36" w:rsidP="00AB7D70">
      <w:pPr>
        <w:jc w:val="both"/>
        <w:rPr>
          <w:b/>
          <w:sz w:val="22"/>
          <w:szCs w:val="22"/>
        </w:rPr>
      </w:pPr>
      <w:r w:rsidRPr="00AB7D70">
        <w:rPr>
          <w:b/>
          <w:sz w:val="22"/>
          <w:szCs w:val="22"/>
        </w:rPr>
        <w:t>Consecuencias de no aceptar el procedimiento:</w:t>
      </w:r>
    </w:p>
    <w:p w:rsidR="00683626" w:rsidRPr="00AB7D70" w:rsidRDefault="00BF5098" w:rsidP="00AB7D70">
      <w:pPr>
        <w:jc w:val="both"/>
        <w:rPr>
          <w:sz w:val="22"/>
          <w:szCs w:val="22"/>
        </w:rPr>
      </w:pPr>
      <w:r w:rsidRPr="00AB7D70">
        <w:rPr>
          <w:sz w:val="22"/>
          <w:szCs w:val="22"/>
        </w:rPr>
        <w:t>Dolor en el tendón afectado, sensibilidad cerca de la articulación, inflamación en la zona afectada, limitación funcional llegando a la invalidez</w:t>
      </w:r>
      <w:r w:rsidR="005975DE" w:rsidRPr="00AB7D70">
        <w:rPr>
          <w:sz w:val="22"/>
          <w:szCs w:val="22"/>
        </w:rPr>
        <w:t>.</w:t>
      </w:r>
    </w:p>
    <w:p w:rsidR="00683626" w:rsidRPr="00AB7D70" w:rsidRDefault="00683626" w:rsidP="00AB7D70">
      <w:pPr>
        <w:jc w:val="both"/>
        <w:rPr>
          <w:sz w:val="22"/>
          <w:szCs w:val="22"/>
        </w:rPr>
      </w:pPr>
    </w:p>
    <w:p w:rsidR="00BE6E36" w:rsidRPr="00AB7D70" w:rsidRDefault="00BE6E36" w:rsidP="00AB7D70">
      <w:pPr>
        <w:jc w:val="both"/>
        <w:rPr>
          <w:b/>
          <w:sz w:val="22"/>
          <w:szCs w:val="22"/>
        </w:rPr>
      </w:pPr>
      <w:r w:rsidRPr="00AB7D70">
        <w:rPr>
          <w:b/>
          <w:sz w:val="22"/>
          <w:szCs w:val="22"/>
        </w:rPr>
        <w:t>Mecanismo para solicitar más información:</w:t>
      </w:r>
    </w:p>
    <w:p w:rsidR="009C6284" w:rsidRPr="00AB7D70" w:rsidRDefault="00BF5098" w:rsidP="00AB7D70">
      <w:pPr>
        <w:jc w:val="both"/>
        <w:rPr>
          <w:sz w:val="22"/>
          <w:szCs w:val="22"/>
        </w:rPr>
      </w:pPr>
      <w:r w:rsidRPr="00AB7D70">
        <w:rPr>
          <w:sz w:val="22"/>
          <w:szCs w:val="22"/>
        </w:rPr>
        <w:t>Su mé</w:t>
      </w:r>
      <w:r w:rsidR="00234DEC" w:rsidRPr="00AB7D70">
        <w:rPr>
          <w:sz w:val="22"/>
          <w:szCs w:val="22"/>
        </w:rPr>
        <w:t>dico tratante, jefe de servicio.</w:t>
      </w:r>
    </w:p>
    <w:p w:rsidR="009C6284" w:rsidRPr="00AB7D70" w:rsidRDefault="009C6284" w:rsidP="00AB7D70">
      <w:pPr>
        <w:jc w:val="both"/>
        <w:rPr>
          <w:sz w:val="22"/>
          <w:szCs w:val="22"/>
        </w:rPr>
      </w:pPr>
    </w:p>
    <w:p w:rsidR="00912874" w:rsidRPr="00AB7D70" w:rsidRDefault="00912874" w:rsidP="00AB7D70">
      <w:pPr>
        <w:pStyle w:val="Default"/>
        <w:jc w:val="both"/>
        <w:rPr>
          <w:sz w:val="22"/>
          <w:szCs w:val="22"/>
        </w:rPr>
      </w:pPr>
      <w:r w:rsidRPr="00AB7D70">
        <w:rPr>
          <w:b/>
          <w:bCs/>
          <w:sz w:val="22"/>
          <w:szCs w:val="22"/>
        </w:rPr>
        <w:t xml:space="preserve">Revocabilidad </w:t>
      </w:r>
    </w:p>
    <w:p w:rsidR="00912874" w:rsidRPr="00AB7D70" w:rsidRDefault="00912874" w:rsidP="00AB7D70">
      <w:pPr>
        <w:pStyle w:val="Textoindependiente"/>
        <w:rPr>
          <w:rFonts w:cs="Arial"/>
          <w:sz w:val="22"/>
          <w:szCs w:val="22"/>
        </w:rPr>
      </w:pPr>
      <w:r w:rsidRPr="00AB7D70"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  <w:r w:rsidR="00AB7D70" w:rsidRPr="00AB7D70">
        <w:rPr>
          <w:rFonts w:cs="Arial"/>
          <w:sz w:val="22"/>
          <w:szCs w:val="22"/>
        </w:rPr>
        <w:t xml:space="preserve"> </w:t>
      </w:r>
    </w:p>
    <w:sectPr w:rsidR="00912874" w:rsidRPr="00AB7D70" w:rsidSect="00617EC2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880F05"/>
    <w:multiLevelType w:val="hybridMultilevel"/>
    <w:tmpl w:val="B420C1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3723E7"/>
    <w:multiLevelType w:val="hybridMultilevel"/>
    <w:tmpl w:val="785865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B209A"/>
    <w:rsid w:val="000C01F4"/>
    <w:rsid w:val="000C2061"/>
    <w:rsid w:val="000C29CC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30CA1"/>
    <w:rsid w:val="00232F6C"/>
    <w:rsid w:val="00234DEC"/>
    <w:rsid w:val="00243A2B"/>
    <w:rsid w:val="00260D52"/>
    <w:rsid w:val="002619E7"/>
    <w:rsid w:val="00263FBD"/>
    <w:rsid w:val="00282801"/>
    <w:rsid w:val="002A240C"/>
    <w:rsid w:val="002A34BE"/>
    <w:rsid w:val="002A5329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04CA"/>
    <w:rsid w:val="0051175D"/>
    <w:rsid w:val="00512C25"/>
    <w:rsid w:val="00514269"/>
    <w:rsid w:val="00526DA9"/>
    <w:rsid w:val="005344A6"/>
    <w:rsid w:val="00540F2C"/>
    <w:rsid w:val="00541595"/>
    <w:rsid w:val="00546B4F"/>
    <w:rsid w:val="00555C48"/>
    <w:rsid w:val="00557B50"/>
    <w:rsid w:val="005813C1"/>
    <w:rsid w:val="0059309F"/>
    <w:rsid w:val="00596A49"/>
    <w:rsid w:val="005975DE"/>
    <w:rsid w:val="005A3728"/>
    <w:rsid w:val="005A38F0"/>
    <w:rsid w:val="005A7BD2"/>
    <w:rsid w:val="005B343A"/>
    <w:rsid w:val="005B5016"/>
    <w:rsid w:val="005B56AD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17EC2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83626"/>
    <w:rsid w:val="00694F56"/>
    <w:rsid w:val="00695BA0"/>
    <w:rsid w:val="006979B8"/>
    <w:rsid w:val="006A2CB3"/>
    <w:rsid w:val="006A6841"/>
    <w:rsid w:val="006D3095"/>
    <w:rsid w:val="006D5E2D"/>
    <w:rsid w:val="006E2631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1402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2874"/>
    <w:rsid w:val="0091613F"/>
    <w:rsid w:val="009179BA"/>
    <w:rsid w:val="0093002B"/>
    <w:rsid w:val="00931254"/>
    <w:rsid w:val="00940343"/>
    <w:rsid w:val="00940566"/>
    <w:rsid w:val="0094481E"/>
    <w:rsid w:val="00953311"/>
    <w:rsid w:val="00957BDB"/>
    <w:rsid w:val="009714DE"/>
    <w:rsid w:val="0097439C"/>
    <w:rsid w:val="00977916"/>
    <w:rsid w:val="009842E6"/>
    <w:rsid w:val="00986BC3"/>
    <w:rsid w:val="00995BB7"/>
    <w:rsid w:val="009979AC"/>
    <w:rsid w:val="009A1A09"/>
    <w:rsid w:val="009A638A"/>
    <w:rsid w:val="009B4445"/>
    <w:rsid w:val="009B66E4"/>
    <w:rsid w:val="009C455D"/>
    <w:rsid w:val="009C6284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2141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B7D70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BF5098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318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841D2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12874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12874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AB7D70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912874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12874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rsid w:val="00AB7D70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2013-09-25T15:43:00Z</cp:lastPrinted>
  <dcterms:created xsi:type="dcterms:W3CDTF">2017-09-20T19:42:00Z</dcterms:created>
  <dcterms:modified xsi:type="dcterms:W3CDTF">2021-06-08T13:48:00Z</dcterms:modified>
</cp:coreProperties>
</file>