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1A" w:rsidRDefault="00533D1A" w:rsidP="00533D1A">
      <w:r>
        <w:rPr>
          <w:noProof/>
          <w:lang w:val="es-CL" w:eastAsia="es-CL"/>
        </w:rPr>
        <w:drawing>
          <wp:anchor distT="0" distB="0" distL="114300" distR="114300" simplePos="0" relativeHeight="251659264" behindDoc="1" locked="0" layoutInCell="1" allowOverlap="1" wp14:anchorId="1D9CC809" wp14:editId="22B2B44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533D1A" w:rsidRDefault="00533D1A" w:rsidP="00533D1A">
      <w:pPr>
        <w:rPr>
          <w:b/>
          <w:sz w:val="18"/>
          <w:szCs w:val="18"/>
        </w:rPr>
      </w:pPr>
    </w:p>
    <w:p w:rsidR="00533D1A" w:rsidRDefault="00533D1A" w:rsidP="00533D1A">
      <w:pPr>
        <w:jc w:val="center"/>
        <w:rPr>
          <w:b/>
          <w:sz w:val="18"/>
          <w:szCs w:val="18"/>
        </w:rPr>
      </w:pPr>
    </w:p>
    <w:p w:rsidR="00533D1A" w:rsidRDefault="00533D1A" w:rsidP="00533D1A">
      <w:pPr>
        <w:jc w:val="center"/>
        <w:rPr>
          <w:rFonts w:ascii="Bradley Hand ITC" w:hAnsi="Bradley Hand ITC" w:cs="Arial"/>
          <w:b/>
          <w:szCs w:val="24"/>
          <w:u w:val="single"/>
        </w:rPr>
      </w:pPr>
    </w:p>
    <w:p w:rsidR="00533D1A" w:rsidRPr="00564384" w:rsidRDefault="00533D1A" w:rsidP="00533D1A">
      <w:pPr>
        <w:jc w:val="center"/>
        <w:rPr>
          <w:b/>
          <w:szCs w:val="24"/>
          <w:u w:val="single"/>
        </w:rPr>
      </w:pPr>
    </w:p>
    <w:p w:rsidR="00533D1A" w:rsidRPr="00FD53A1" w:rsidRDefault="00533D1A" w:rsidP="00533D1A">
      <w:pPr>
        <w:jc w:val="center"/>
        <w:rPr>
          <w:b/>
          <w:sz w:val="24"/>
          <w:szCs w:val="24"/>
          <w:u w:val="single"/>
        </w:rPr>
      </w:pPr>
      <w:r w:rsidRPr="00FD53A1">
        <w:rPr>
          <w:b/>
          <w:sz w:val="24"/>
          <w:szCs w:val="24"/>
          <w:u w:val="single"/>
        </w:rPr>
        <w:t>INFORMACIÓN PARA PACIENTES:   “</w:t>
      </w:r>
      <w:r w:rsidRPr="00533D1A">
        <w:rPr>
          <w:b/>
          <w:sz w:val="24"/>
          <w:szCs w:val="24"/>
          <w:u w:val="single"/>
        </w:rPr>
        <w:t>HEMORROIDECTOMÍA</w:t>
      </w:r>
      <w:r w:rsidRPr="00FD53A1">
        <w:rPr>
          <w:b/>
          <w:sz w:val="24"/>
          <w:szCs w:val="24"/>
          <w:u w:val="single"/>
        </w:rPr>
        <w:t>”</w:t>
      </w:r>
    </w:p>
    <w:p w:rsidR="00533D1A" w:rsidRPr="00FD53A1" w:rsidRDefault="00533D1A" w:rsidP="00533D1A">
      <w:pPr>
        <w:jc w:val="center"/>
        <w:rPr>
          <w:rFonts w:cs="Arial"/>
          <w:b/>
          <w:sz w:val="24"/>
          <w:szCs w:val="24"/>
          <w:u w:val="single"/>
        </w:rPr>
      </w:pPr>
    </w:p>
    <w:p w:rsidR="00533D1A" w:rsidRPr="00FD53A1" w:rsidRDefault="00533D1A" w:rsidP="00533D1A">
      <w:pPr>
        <w:pStyle w:val="Sinespaciado"/>
        <w:jc w:val="both"/>
        <w:rPr>
          <w:b/>
          <w:sz w:val="24"/>
          <w:szCs w:val="24"/>
        </w:rPr>
      </w:pPr>
    </w:p>
    <w:p w:rsidR="00AF2918" w:rsidRDefault="00AF2918" w:rsidP="00AF2918">
      <w:pPr>
        <w:jc w:val="both"/>
        <w:rPr>
          <w:sz w:val="24"/>
        </w:rPr>
      </w:pPr>
      <w:r w:rsidRPr="001C5256">
        <w:rPr>
          <w:sz w:val="24"/>
        </w:rPr>
        <w:t>El presente documento permite entregar información al paciente respecto a la cirugía específica  a realizar,  por lo que NO CONSTITUYE  EL CONSENTIMIENTO INFORMADO.</w:t>
      </w:r>
    </w:p>
    <w:p w:rsidR="00AF2918" w:rsidRPr="001C5256" w:rsidRDefault="00AF2918" w:rsidP="00AF2918">
      <w:pPr>
        <w:jc w:val="both"/>
        <w:rPr>
          <w:sz w:val="24"/>
        </w:rPr>
      </w:pPr>
    </w:p>
    <w:p w:rsidR="00AF2918" w:rsidRPr="001C5256" w:rsidRDefault="00AF2918" w:rsidP="00AF2918">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141A61" w:rsidRPr="00533D1A" w:rsidRDefault="00141A61" w:rsidP="00533D1A">
      <w:pPr>
        <w:spacing w:line="276" w:lineRule="auto"/>
        <w:jc w:val="center"/>
        <w:rPr>
          <w:b/>
          <w:sz w:val="24"/>
          <w:szCs w:val="24"/>
        </w:rPr>
      </w:pPr>
      <w:bookmarkStart w:id="0" w:name="_GoBack"/>
      <w:bookmarkEnd w:id="0"/>
    </w:p>
    <w:p w:rsidR="00D20559" w:rsidRPr="00533D1A" w:rsidRDefault="00D20559" w:rsidP="00533D1A">
      <w:pPr>
        <w:jc w:val="both"/>
        <w:rPr>
          <w:sz w:val="24"/>
          <w:szCs w:val="24"/>
        </w:rPr>
      </w:pPr>
      <w:r w:rsidRPr="00533D1A">
        <w:rPr>
          <w:b/>
          <w:sz w:val="24"/>
          <w:szCs w:val="24"/>
        </w:rPr>
        <w:t>Objetivos del procedimiento:</w:t>
      </w:r>
      <w:r w:rsidRPr="00533D1A">
        <w:rPr>
          <w:b/>
          <w:color w:val="000000"/>
          <w:sz w:val="24"/>
          <w:szCs w:val="24"/>
        </w:rPr>
        <w:t xml:space="preserve"> </w:t>
      </w:r>
      <w:r w:rsidRPr="00533D1A">
        <w:rPr>
          <w:color w:val="000000"/>
          <w:sz w:val="24"/>
          <w:szCs w:val="24"/>
        </w:rPr>
        <w:t xml:space="preserve">el objetivo del tratamiento es aliviar las molestias causadas por la presencia de paquetes </w:t>
      </w:r>
      <w:proofErr w:type="spellStart"/>
      <w:r w:rsidRPr="00533D1A">
        <w:rPr>
          <w:color w:val="000000"/>
          <w:sz w:val="24"/>
          <w:szCs w:val="24"/>
        </w:rPr>
        <w:t>hemorroidarios</w:t>
      </w:r>
      <w:proofErr w:type="spellEnd"/>
      <w:r w:rsidRPr="00533D1A">
        <w:rPr>
          <w:color w:val="000000"/>
          <w:sz w:val="24"/>
          <w:szCs w:val="24"/>
        </w:rPr>
        <w:t xml:space="preserve"> enfermos </w:t>
      </w:r>
      <w:r w:rsidR="00141A61" w:rsidRPr="00533D1A">
        <w:rPr>
          <w:color w:val="000000"/>
          <w:sz w:val="24"/>
          <w:szCs w:val="24"/>
        </w:rPr>
        <w:t>(hemorroides</w:t>
      </w:r>
      <w:r w:rsidRPr="00533D1A">
        <w:rPr>
          <w:color w:val="000000"/>
          <w:sz w:val="24"/>
          <w:szCs w:val="24"/>
        </w:rPr>
        <w:t xml:space="preserve"> patológicas): sangrado anal, prolapso o salida de masas </w:t>
      </w:r>
      <w:proofErr w:type="spellStart"/>
      <w:r w:rsidRPr="00533D1A">
        <w:rPr>
          <w:color w:val="000000"/>
          <w:sz w:val="24"/>
          <w:szCs w:val="24"/>
        </w:rPr>
        <w:t>hemorroidarias</w:t>
      </w:r>
      <w:proofErr w:type="spellEnd"/>
      <w:r w:rsidRPr="00533D1A">
        <w:rPr>
          <w:color w:val="000000"/>
          <w:sz w:val="24"/>
          <w:szCs w:val="24"/>
        </w:rPr>
        <w:t xml:space="preserve"> por ano, descarga de mucosidad anal, picazón anal, dolor anal y dificultad para el aseo anal luego de la </w:t>
      </w:r>
      <w:r w:rsidR="00CF3396" w:rsidRPr="00533D1A">
        <w:rPr>
          <w:color w:val="000000"/>
          <w:sz w:val="24"/>
          <w:szCs w:val="24"/>
        </w:rPr>
        <w:t>defecación</w:t>
      </w:r>
      <w:r w:rsidRPr="00533D1A">
        <w:rPr>
          <w:color w:val="000000"/>
          <w:sz w:val="24"/>
          <w:szCs w:val="24"/>
        </w:rPr>
        <w:t>.</w:t>
      </w:r>
    </w:p>
    <w:p w:rsidR="00D20559" w:rsidRPr="00533D1A" w:rsidRDefault="00D20559" w:rsidP="00533D1A">
      <w:pPr>
        <w:jc w:val="both"/>
        <w:rPr>
          <w:sz w:val="24"/>
          <w:szCs w:val="24"/>
        </w:rPr>
      </w:pPr>
    </w:p>
    <w:p w:rsidR="00D20559" w:rsidRPr="00533D1A" w:rsidRDefault="00D20559" w:rsidP="00533D1A">
      <w:pPr>
        <w:jc w:val="both"/>
        <w:rPr>
          <w:sz w:val="24"/>
          <w:szCs w:val="24"/>
        </w:rPr>
      </w:pPr>
      <w:r w:rsidRPr="00533D1A">
        <w:rPr>
          <w:b/>
          <w:sz w:val="24"/>
          <w:szCs w:val="24"/>
        </w:rPr>
        <w:t>Descripción del procedimiento:</w:t>
      </w:r>
      <w:r w:rsidRPr="00533D1A">
        <w:rPr>
          <w:b/>
          <w:color w:val="000000"/>
          <w:sz w:val="24"/>
          <w:szCs w:val="24"/>
        </w:rPr>
        <w:t xml:space="preserve"> </w:t>
      </w:r>
      <w:r w:rsidRPr="00533D1A">
        <w:rPr>
          <w:color w:val="000000"/>
          <w:sz w:val="24"/>
          <w:szCs w:val="24"/>
        </w:rPr>
        <w:t xml:space="preserve">bajo anestesia general o regional, el Cirujano extirpará los paquetes </w:t>
      </w:r>
      <w:proofErr w:type="spellStart"/>
      <w:r w:rsidRPr="00533D1A">
        <w:rPr>
          <w:color w:val="000000"/>
          <w:sz w:val="24"/>
          <w:szCs w:val="24"/>
        </w:rPr>
        <w:t>hemorroidarios</w:t>
      </w:r>
      <w:proofErr w:type="spellEnd"/>
      <w:r w:rsidRPr="00533D1A">
        <w:rPr>
          <w:color w:val="000000"/>
          <w:sz w:val="24"/>
          <w:szCs w:val="24"/>
        </w:rPr>
        <w:t xml:space="preserve"> que presenten aspecto anormal </w:t>
      </w:r>
      <w:r w:rsidR="00141A61" w:rsidRPr="00533D1A">
        <w:rPr>
          <w:color w:val="000000"/>
          <w:sz w:val="24"/>
          <w:szCs w:val="24"/>
        </w:rPr>
        <w:t>(hemorroides</w:t>
      </w:r>
      <w:r w:rsidRPr="00533D1A">
        <w:rPr>
          <w:color w:val="000000"/>
          <w:sz w:val="24"/>
          <w:szCs w:val="24"/>
        </w:rPr>
        <w:t xml:space="preserve"> </w:t>
      </w:r>
      <w:proofErr w:type="gramStart"/>
      <w:r w:rsidRPr="00533D1A">
        <w:rPr>
          <w:color w:val="000000"/>
          <w:sz w:val="24"/>
          <w:szCs w:val="24"/>
        </w:rPr>
        <w:t>patológicos</w:t>
      </w:r>
      <w:proofErr w:type="gramEnd"/>
      <w:r w:rsidRPr="00533D1A">
        <w:rPr>
          <w:color w:val="000000"/>
          <w:sz w:val="24"/>
          <w:szCs w:val="24"/>
        </w:rPr>
        <w:t xml:space="preserve">). En el ano, quedará una gasa o apósito para cubrir las heridas quirúrgicas. </w:t>
      </w:r>
      <w:r w:rsidRPr="00533D1A">
        <w:rPr>
          <w:b/>
          <w:color w:val="000000"/>
          <w:sz w:val="24"/>
          <w:szCs w:val="24"/>
        </w:rPr>
        <w:t xml:space="preserve">NO se extirpan </w:t>
      </w:r>
      <w:r w:rsidRPr="00533D1A">
        <w:rPr>
          <w:color w:val="000000"/>
          <w:sz w:val="24"/>
          <w:szCs w:val="24"/>
        </w:rPr>
        <w:t>los hemorroides de aspecto normal porque no es necesario hacerlo y porque aumentan las complicaciones luego de la operación.</w:t>
      </w:r>
    </w:p>
    <w:p w:rsidR="00D20559" w:rsidRPr="00533D1A" w:rsidRDefault="00D20559" w:rsidP="00533D1A">
      <w:pPr>
        <w:jc w:val="both"/>
        <w:rPr>
          <w:sz w:val="24"/>
          <w:szCs w:val="24"/>
        </w:rPr>
      </w:pPr>
    </w:p>
    <w:p w:rsidR="00D20559" w:rsidRPr="00533D1A" w:rsidRDefault="00D20559" w:rsidP="00533D1A">
      <w:pPr>
        <w:jc w:val="both"/>
        <w:rPr>
          <w:sz w:val="24"/>
          <w:szCs w:val="24"/>
        </w:rPr>
      </w:pPr>
      <w:r w:rsidRPr="00533D1A">
        <w:rPr>
          <w:b/>
          <w:sz w:val="24"/>
          <w:szCs w:val="24"/>
        </w:rPr>
        <w:t>Riesgos del procedimiento:</w:t>
      </w:r>
      <w:r w:rsidRPr="00533D1A">
        <w:rPr>
          <w:color w:val="000000"/>
          <w:sz w:val="24"/>
          <w:szCs w:val="24"/>
        </w:rPr>
        <w:t xml:space="preserve"> la extirpación de hemorroides patológicas no está libre de complicaciones. La recuperación, después de la operación, normalmente es DOLOROSA. Aparte del dolor, es normal sentir dificultad para defecar, descarga de líquido turbio por </w:t>
      </w:r>
      <w:proofErr w:type="spellStart"/>
      <w:r w:rsidRPr="00533D1A">
        <w:rPr>
          <w:color w:val="000000"/>
          <w:sz w:val="24"/>
          <w:szCs w:val="24"/>
        </w:rPr>
        <w:t>ano</w:t>
      </w:r>
      <w:proofErr w:type="spellEnd"/>
      <w:r w:rsidRPr="00533D1A">
        <w:rPr>
          <w:color w:val="000000"/>
          <w:sz w:val="24"/>
          <w:szCs w:val="24"/>
        </w:rPr>
        <w:t xml:space="preserve"> y picazón anal. Estas molestias comienzan a disminuir después de una semana y suelen comenzar a desaparecer luego de 4 semanas.</w:t>
      </w:r>
    </w:p>
    <w:p w:rsidR="00D20559" w:rsidRPr="00533D1A" w:rsidRDefault="00D20559" w:rsidP="00533D1A">
      <w:pPr>
        <w:jc w:val="both"/>
        <w:rPr>
          <w:sz w:val="24"/>
          <w:szCs w:val="24"/>
        </w:rPr>
      </w:pPr>
      <w:r w:rsidRPr="00533D1A">
        <w:rPr>
          <w:color w:val="000000"/>
          <w:sz w:val="24"/>
          <w:szCs w:val="24"/>
        </w:rPr>
        <w:t>Después de la operación pueden aparecer complicaciones como sangrado anal, infección anal mayor, retención de orina y de deposiciones y estrechez anal severa. En algunos casos, se requerirá una o más operaciones para resolver estas complicaciones.</w:t>
      </w:r>
    </w:p>
    <w:p w:rsidR="00D20559" w:rsidRPr="00533D1A" w:rsidRDefault="00D20559" w:rsidP="00533D1A">
      <w:pPr>
        <w:jc w:val="both"/>
        <w:rPr>
          <w:sz w:val="24"/>
          <w:szCs w:val="24"/>
        </w:rPr>
      </w:pPr>
      <w:r w:rsidRPr="00533D1A">
        <w:rPr>
          <w:color w:val="000000"/>
          <w:sz w:val="24"/>
          <w:szCs w:val="24"/>
        </w:rPr>
        <w:t>La cirugía de hemorroides no garantiza que en el futuro no aparezcan nuevas hemorroides enfermas.</w:t>
      </w:r>
    </w:p>
    <w:p w:rsidR="00D20559" w:rsidRPr="00533D1A" w:rsidRDefault="00D20559" w:rsidP="00533D1A">
      <w:pPr>
        <w:jc w:val="both"/>
        <w:rPr>
          <w:sz w:val="24"/>
          <w:szCs w:val="24"/>
        </w:rPr>
      </w:pPr>
    </w:p>
    <w:p w:rsidR="00D20559" w:rsidRPr="00533D1A" w:rsidRDefault="00D20559" w:rsidP="00533D1A">
      <w:pPr>
        <w:jc w:val="both"/>
        <w:rPr>
          <w:sz w:val="24"/>
          <w:szCs w:val="24"/>
        </w:rPr>
      </w:pPr>
      <w:r w:rsidRPr="00533D1A">
        <w:rPr>
          <w:b/>
          <w:sz w:val="24"/>
          <w:szCs w:val="24"/>
        </w:rPr>
        <w:t>Alternativas al procedimiento propuesto:</w:t>
      </w:r>
      <w:r w:rsidRPr="00533D1A">
        <w:rPr>
          <w:b/>
          <w:color w:val="000000"/>
          <w:sz w:val="24"/>
          <w:szCs w:val="24"/>
        </w:rPr>
        <w:t xml:space="preserve"> </w:t>
      </w:r>
      <w:r w:rsidRPr="00533D1A">
        <w:rPr>
          <w:color w:val="000000"/>
          <w:sz w:val="24"/>
          <w:szCs w:val="24"/>
        </w:rPr>
        <w:t>aproximadamente el 90% de los pacientes que sufren de enfermedad hemorroidal se alivian con tratamientos sencillos o con procedimientos ambulatorios como la ligadura de hemorroides. El 10% restante requieren cirugía para hemorroides enfermos. En este grupo de paciente no existen alternativas de tratamiento.</w:t>
      </w:r>
    </w:p>
    <w:p w:rsidR="00D20559" w:rsidRPr="00533D1A" w:rsidRDefault="00D20559" w:rsidP="00533D1A">
      <w:pPr>
        <w:jc w:val="both"/>
        <w:rPr>
          <w:sz w:val="24"/>
          <w:szCs w:val="24"/>
        </w:rPr>
      </w:pPr>
    </w:p>
    <w:p w:rsidR="00D20559" w:rsidRPr="00533D1A" w:rsidRDefault="00D20559" w:rsidP="00533D1A">
      <w:pPr>
        <w:jc w:val="both"/>
        <w:rPr>
          <w:sz w:val="24"/>
          <w:szCs w:val="24"/>
        </w:rPr>
      </w:pPr>
      <w:r w:rsidRPr="00533D1A">
        <w:rPr>
          <w:b/>
          <w:sz w:val="24"/>
          <w:szCs w:val="24"/>
        </w:rPr>
        <w:t>Consecuencias de no aceptar el procedimiento:</w:t>
      </w:r>
      <w:r w:rsidRPr="00533D1A">
        <w:rPr>
          <w:b/>
          <w:color w:val="000000"/>
          <w:sz w:val="24"/>
          <w:szCs w:val="24"/>
        </w:rPr>
        <w:t xml:space="preserve"> </w:t>
      </w:r>
      <w:r w:rsidRPr="00533D1A">
        <w:rPr>
          <w:color w:val="000000"/>
          <w:sz w:val="24"/>
          <w:szCs w:val="24"/>
        </w:rPr>
        <w:t>de no realizar el tratamiento quirúrgico, no será posible aliviar las molestias descritas.</w:t>
      </w:r>
    </w:p>
    <w:p w:rsidR="00D20559" w:rsidRPr="00533D1A" w:rsidRDefault="00D20559" w:rsidP="00533D1A">
      <w:pPr>
        <w:jc w:val="both"/>
        <w:rPr>
          <w:sz w:val="24"/>
          <w:szCs w:val="24"/>
        </w:rPr>
      </w:pPr>
    </w:p>
    <w:p w:rsidR="00D20559" w:rsidRPr="00533D1A" w:rsidRDefault="00D20559" w:rsidP="00533D1A">
      <w:pPr>
        <w:jc w:val="both"/>
        <w:rPr>
          <w:sz w:val="24"/>
          <w:szCs w:val="24"/>
        </w:rPr>
      </w:pPr>
      <w:r w:rsidRPr="00533D1A">
        <w:rPr>
          <w:b/>
          <w:sz w:val="24"/>
          <w:szCs w:val="24"/>
        </w:rPr>
        <w:t>Mecanismo para solicitar más información:</w:t>
      </w:r>
      <w:r w:rsidRPr="00533D1A">
        <w:rPr>
          <w:b/>
          <w:color w:val="000000"/>
          <w:sz w:val="24"/>
          <w:szCs w:val="24"/>
        </w:rPr>
        <w:t xml:space="preserve"> </w:t>
      </w:r>
      <w:r w:rsidRPr="00533D1A">
        <w:rPr>
          <w:color w:val="000000"/>
          <w:sz w:val="24"/>
          <w:szCs w:val="24"/>
        </w:rPr>
        <w:t>Ud. puede solicitar más información directamente a su médico tratante cada vez que tenga algún control previo a la operación, y con el Jefe de Servicio de Cirugía solicitando entrevista mediante la secretaria (o) del Servicio de Cirugía.</w:t>
      </w:r>
    </w:p>
    <w:p w:rsidR="00D20559" w:rsidRPr="00533D1A" w:rsidRDefault="00D20559" w:rsidP="00533D1A">
      <w:pPr>
        <w:jc w:val="both"/>
        <w:rPr>
          <w:color w:val="000000"/>
          <w:sz w:val="24"/>
          <w:szCs w:val="24"/>
        </w:rPr>
      </w:pPr>
      <w:r w:rsidRPr="00533D1A">
        <w:rPr>
          <w:color w:val="000000"/>
          <w:sz w:val="24"/>
          <w:szCs w:val="24"/>
        </w:rPr>
        <w:t>Ud. puede solicitar una segunda opinión a otro Médico previa a la intervención. Esta segunda opinión corre por costo y riesgo de cada paciente y no del Servicio de Cirugía.</w:t>
      </w:r>
    </w:p>
    <w:p w:rsidR="00DD2430" w:rsidRPr="00533D1A" w:rsidRDefault="00DD2430" w:rsidP="00533D1A">
      <w:pPr>
        <w:jc w:val="both"/>
        <w:rPr>
          <w:color w:val="000000"/>
          <w:sz w:val="24"/>
          <w:szCs w:val="24"/>
        </w:rPr>
      </w:pPr>
    </w:p>
    <w:p w:rsidR="00DD2430" w:rsidRPr="00533D1A" w:rsidRDefault="00DD2430" w:rsidP="00533D1A">
      <w:pPr>
        <w:pStyle w:val="Default"/>
      </w:pPr>
      <w:r w:rsidRPr="00533D1A">
        <w:rPr>
          <w:b/>
          <w:bCs/>
        </w:rPr>
        <w:t xml:space="preserve">Revocabilidad </w:t>
      </w:r>
    </w:p>
    <w:p w:rsidR="00DD2430" w:rsidRPr="00533D1A" w:rsidRDefault="00DD2430" w:rsidP="00533D1A">
      <w:pPr>
        <w:pStyle w:val="Textoindependiente"/>
        <w:jc w:val="both"/>
        <w:rPr>
          <w:b w:val="0"/>
          <w:bCs w:val="0"/>
          <w:sz w:val="24"/>
        </w:rPr>
      </w:pPr>
      <w:r w:rsidRPr="00533D1A">
        <w:rPr>
          <w:b w:val="0"/>
          <w:iCs/>
          <w:sz w:val="24"/>
        </w:rPr>
        <w:t>Se me señala, que hacer si cambio de idea tanto en aceptar o rechazar el procedimiento, cirugía o terapia propuesta.</w:t>
      </w:r>
    </w:p>
    <w:p w:rsidR="00DD2430" w:rsidRPr="00533D1A" w:rsidRDefault="00DD2430" w:rsidP="00533D1A">
      <w:pPr>
        <w:jc w:val="both"/>
        <w:rPr>
          <w:rFonts w:ascii="Arial" w:hAnsi="Arial" w:cs="Arial"/>
          <w:sz w:val="24"/>
          <w:szCs w:val="24"/>
        </w:rPr>
      </w:pPr>
    </w:p>
    <w:p w:rsidR="00141A61" w:rsidRPr="00CF3396" w:rsidRDefault="00141A61" w:rsidP="00DD2430">
      <w:pPr>
        <w:rPr>
          <w:szCs w:val="18"/>
        </w:rPr>
      </w:pPr>
    </w:p>
    <w:sectPr w:rsidR="00141A61" w:rsidRPr="00CF3396">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42AE8BE2">
      <w:start w:val="1"/>
      <w:numFmt w:val="decimal"/>
      <w:lvlText w:val="%1."/>
      <w:lvlJc w:val="left"/>
      <w:pPr>
        <w:ind w:left="360" w:hanging="360"/>
      </w:pPr>
      <w:rPr>
        <w:b w:val="0"/>
      </w:rPr>
    </w:lvl>
    <w:lvl w:ilvl="1" w:tplc="CE9E06A8">
      <w:start w:val="1"/>
      <w:numFmt w:val="lowerLetter"/>
      <w:lvlText w:val="%2."/>
      <w:lvlJc w:val="left"/>
      <w:pPr>
        <w:ind w:left="1080" w:hanging="360"/>
      </w:pPr>
    </w:lvl>
    <w:lvl w:ilvl="2" w:tplc="CF1877E6">
      <w:start w:val="1"/>
      <w:numFmt w:val="lowerRoman"/>
      <w:lvlText w:val="%3."/>
      <w:lvlJc w:val="right"/>
      <w:pPr>
        <w:ind w:left="1800" w:hanging="180"/>
      </w:pPr>
    </w:lvl>
    <w:lvl w:ilvl="3" w:tplc="328442C0">
      <w:start w:val="1"/>
      <w:numFmt w:val="decimal"/>
      <w:lvlText w:val="%4."/>
      <w:lvlJc w:val="left"/>
      <w:pPr>
        <w:ind w:left="2520" w:hanging="360"/>
      </w:pPr>
    </w:lvl>
    <w:lvl w:ilvl="4" w:tplc="2BC0C4FE">
      <w:start w:val="1"/>
      <w:numFmt w:val="lowerLetter"/>
      <w:lvlText w:val="%5."/>
      <w:lvlJc w:val="left"/>
      <w:pPr>
        <w:ind w:left="3240" w:hanging="360"/>
      </w:pPr>
    </w:lvl>
    <w:lvl w:ilvl="5" w:tplc="C8DC4588">
      <w:start w:val="1"/>
      <w:numFmt w:val="lowerRoman"/>
      <w:lvlText w:val="%6."/>
      <w:lvlJc w:val="right"/>
      <w:pPr>
        <w:ind w:left="3960" w:hanging="180"/>
      </w:pPr>
    </w:lvl>
    <w:lvl w:ilvl="6" w:tplc="CF487EC6">
      <w:start w:val="1"/>
      <w:numFmt w:val="decimal"/>
      <w:lvlText w:val="%7."/>
      <w:lvlJc w:val="left"/>
      <w:pPr>
        <w:ind w:left="4680" w:hanging="360"/>
      </w:pPr>
    </w:lvl>
    <w:lvl w:ilvl="7" w:tplc="0BB47D1E">
      <w:start w:val="1"/>
      <w:numFmt w:val="lowerLetter"/>
      <w:lvlText w:val="%8."/>
      <w:lvlJc w:val="left"/>
      <w:pPr>
        <w:ind w:left="5400" w:hanging="360"/>
      </w:pPr>
    </w:lvl>
    <w:lvl w:ilvl="8" w:tplc="5EE4B5D0">
      <w:start w:val="1"/>
      <w:numFmt w:val="lowerRoman"/>
      <w:lvlText w:val="%9."/>
      <w:lvlJc w:val="right"/>
      <w:pPr>
        <w:ind w:left="6120" w:hanging="180"/>
      </w:pPr>
    </w:lvl>
  </w:abstractNum>
  <w:abstractNum w:abstractNumId="2">
    <w:nsid w:val="43347463"/>
    <w:multiLevelType w:val="hybridMultilevel"/>
    <w:tmpl w:val="68367FB6"/>
    <w:lvl w:ilvl="0" w:tplc="26EEC11E">
      <w:start w:val="1"/>
      <w:numFmt w:val="decimal"/>
      <w:lvlText w:val="%1-"/>
      <w:lvlJc w:val="left"/>
      <w:pPr>
        <w:tabs>
          <w:tab w:val="num" w:pos="720"/>
        </w:tabs>
        <w:ind w:left="720" w:hanging="360"/>
      </w:pPr>
      <w:rPr>
        <w:rFonts w:hint="default"/>
      </w:rPr>
    </w:lvl>
    <w:lvl w:ilvl="1" w:tplc="55806F16">
      <w:start w:val="1"/>
      <w:numFmt w:val="lowerLetter"/>
      <w:lvlText w:val="%2."/>
      <w:lvlJc w:val="left"/>
      <w:pPr>
        <w:tabs>
          <w:tab w:val="num" w:pos="1440"/>
        </w:tabs>
        <w:ind w:left="1440" w:hanging="360"/>
      </w:pPr>
    </w:lvl>
    <w:lvl w:ilvl="2" w:tplc="200010FE">
      <w:start w:val="1"/>
      <w:numFmt w:val="lowerRoman"/>
      <w:lvlText w:val="%3."/>
      <w:lvlJc w:val="right"/>
      <w:pPr>
        <w:tabs>
          <w:tab w:val="num" w:pos="2160"/>
        </w:tabs>
        <w:ind w:left="2160" w:hanging="180"/>
      </w:pPr>
    </w:lvl>
    <w:lvl w:ilvl="3" w:tplc="38824FB2">
      <w:start w:val="1"/>
      <w:numFmt w:val="decimal"/>
      <w:lvlText w:val="%4."/>
      <w:lvlJc w:val="left"/>
      <w:pPr>
        <w:tabs>
          <w:tab w:val="num" w:pos="2880"/>
        </w:tabs>
        <w:ind w:left="2880" w:hanging="360"/>
      </w:pPr>
    </w:lvl>
    <w:lvl w:ilvl="4" w:tplc="DB4A4628">
      <w:start w:val="1"/>
      <w:numFmt w:val="lowerLetter"/>
      <w:lvlText w:val="%5."/>
      <w:lvlJc w:val="left"/>
      <w:pPr>
        <w:tabs>
          <w:tab w:val="num" w:pos="3600"/>
        </w:tabs>
        <w:ind w:left="3600" w:hanging="360"/>
      </w:pPr>
    </w:lvl>
    <w:lvl w:ilvl="5" w:tplc="F668A2DA">
      <w:start w:val="1"/>
      <w:numFmt w:val="lowerRoman"/>
      <w:lvlText w:val="%6."/>
      <w:lvlJc w:val="right"/>
      <w:pPr>
        <w:tabs>
          <w:tab w:val="num" w:pos="4320"/>
        </w:tabs>
        <w:ind w:left="4320" w:hanging="180"/>
      </w:pPr>
    </w:lvl>
    <w:lvl w:ilvl="6" w:tplc="1E8C5F5A">
      <w:start w:val="1"/>
      <w:numFmt w:val="decimal"/>
      <w:lvlText w:val="%7."/>
      <w:lvlJc w:val="left"/>
      <w:pPr>
        <w:tabs>
          <w:tab w:val="num" w:pos="5040"/>
        </w:tabs>
        <w:ind w:left="5040" w:hanging="360"/>
      </w:pPr>
    </w:lvl>
    <w:lvl w:ilvl="7" w:tplc="7DE64054">
      <w:start w:val="1"/>
      <w:numFmt w:val="lowerLetter"/>
      <w:lvlText w:val="%8."/>
      <w:lvlJc w:val="left"/>
      <w:pPr>
        <w:tabs>
          <w:tab w:val="num" w:pos="5760"/>
        </w:tabs>
        <w:ind w:left="5760" w:hanging="360"/>
      </w:pPr>
    </w:lvl>
    <w:lvl w:ilvl="8" w:tplc="69CC0E68">
      <w:start w:val="1"/>
      <w:numFmt w:val="lowerRoman"/>
      <w:lvlText w:val="%9."/>
      <w:lvlJc w:val="right"/>
      <w:pPr>
        <w:tabs>
          <w:tab w:val="num" w:pos="6480"/>
        </w:tabs>
        <w:ind w:left="6480" w:hanging="180"/>
      </w:pPr>
    </w:lvl>
  </w:abstractNum>
  <w:abstractNum w:abstractNumId="3">
    <w:nsid w:val="7E7700D5"/>
    <w:multiLevelType w:val="hybridMultilevel"/>
    <w:tmpl w:val="502044DE"/>
    <w:lvl w:ilvl="0" w:tplc="DD26A984">
      <w:start w:val="1"/>
      <w:numFmt w:val="bullet"/>
      <w:lvlText w:val=""/>
      <w:lvlJc w:val="left"/>
      <w:pPr>
        <w:tabs>
          <w:tab w:val="num" w:pos="720"/>
        </w:tabs>
        <w:ind w:left="720" w:hanging="360"/>
      </w:pPr>
      <w:rPr>
        <w:rFonts w:ascii="Symbol" w:hAnsi="Symbol" w:hint="default"/>
      </w:rPr>
    </w:lvl>
    <w:lvl w:ilvl="1" w:tplc="B78AC2B8">
      <w:start w:val="1"/>
      <w:numFmt w:val="bullet"/>
      <w:lvlText w:val="o"/>
      <w:lvlJc w:val="left"/>
      <w:pPr>
        <w:tabs>
          <w:tab w:val="num" w:pos="1440"/>
        </w:tabs>
        <w:ind w:left="1440" w:hanging="360"/>
      </w:pPr>
      <w:rPr>
        <w:rFonts w:ascii="Courier New" w:hAnsi="Courier New" w:cs="Courier New" w:hint="default"/>
      </w:rPr>
    </w:lvl>
    <w:lvl w:ilvl="2" w:tplc="B310E74A">
      <w:start w:val="1"/>
      <w:numFmt w:val="bullet"/>
      <w:lvlText w:val=""/>
      <w:lvlJc w:val="left"/>
      <w:pPr>
        <w:tabs>
          <w:tab w:val="num" w:pos="2160"/>
        </w:tabs>
        <w:ind w:left="2160" w:hanging="360"/>
      </w:pPr>
      <w:rPr>
        <w:rFonts w:ascii="Wingdings" w:hAnsi="Wingdings" w:hint="default"/>
      </w:rPr>
    </w:lvl>
    <w:lvl w:ilvl="3" w:tplc="89C01FC8">
      <w:start w:val="1"/>
      <w:numFmt w:val="bullet"/>
      <w:lvlText w:val=""/>
      <w:lvlJc w:val="left"/>
      <w:pPr>
        <w:tabs>
          <w:tab w:val="num" w:pos="2880"/>
        </w:tabs>
        <w:ind w:left="2880" w:hanging="360"/>
      </w:pPr>
      <w:rPr>
        <w:rFonts w:ascii="Symbol" w:hAnsi="Symbol" w:hint="default"/>
      </w:rPr>
    </w:lvl>
    <w:lvl w:ilvl="4" w:tplc="A846FA3A">
      <w:start w:val="1"/>
      <w:numFmt w:val="bullet"/>
      <w:lvlText w:val="o"/>
      <w:lvlJc w:val="left"/>
      <w:pPr>
        <w:tabs>
          <w:tab w:val="num" w:pos="3600"/>
        </w:tabs>
        <w:ind w:left="3600" w:hanging="360"/>
      </w:pPr>
      <w:rPr>
        <w:rFonts w:ascii="Courier New" w:hAnsi="Courier New" w:cs="Courier New" w:hint="default"/>
      </w:rPr>
    </w:lvl>
    <w:lvl w:ilvl="5" w:tplc="45B82D78">
      <w:start w:val="1"/>
      <w:numFmt w:val="bullet"/>
      <w:lvlText w:val=""/>
      <w:lvlJc w:val="left"/>
      <w:pPr>
        <w:tabs>
          <w:tab w:val="num" w:pos="4320"/>
        </w:tabs>
        <w:ind w:left="4320" w:hanging="360"/>
      </w:pPr>
      <w:rPr>
        <w:rFonts w:ascii="Wingdings" w:hAnsi="Wingdings" w:hint="default"/>
      </w:rPr>
    </w:lvl>
    <w:lvl w:ilvl="6" w:tplc="AD76F4CC">
      <w:start w:val="1"/>
      <w:numFmt w:val="bullet"/>
      <w:lvlText w:val=""/>
      <w:lvlJc w:val="left"/>
      <w:pPr>
        <w:tabs>
          <w:tab w:val="num" w:pos="5040"/>
        </w:tabs>
        <w:ind w:left="5040" w:hanging="360"/>
      </w:pPr>
      <w:rPr>
        <w:rFonts w:ascii="Symbol" w:hAnsi="Symbol" w:hint="default"/>
      </w:rPr>
    </w:lvl>
    <w:lvl w:ilvl="7" w:tplc="F83A7FE4">
      <w:start w:val="1"/>
      <w:numFmt w:val="bullet"/>
      <w:lvlText w:val="o"/>
      <w:lvlJc w:val="left"/>
      <w:pPr>
        <w:tabs>
          <w:tab w:val="num" w:pos="5760"/>
        </w:tabs>
        <w:ind w:left="5760" w:hanging="360"/>
      </w:pPr>
      <w:rPr>
        <w:rFonts w:ascii="Courier New" w:hAnsi="Courier New" w:cs="Courier New" w:hint="default"/>
      </w:rPr>
    </w:lvl>
    <w:lvl w:ilvl="8" w:tplc="E7F8DA2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96"/>
    <w:rsid w:val="00141A61"/>
    <w:rsid w:val="003F747D"/>
    <w:rsid w:val="00533D1A"/>
    <w:rsid w:val="00980DB6"/>
    <w:rsid w:val="00AF2918"/>
    <w:rsid w:val="00CF3396"/>
    <w:rsid w:val="00D20559"/>
    <w:rsid w:val="00DD24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D2430"/>
    <w:pPr>
      <w:jc w:val="center"/>
    </w:pPr>
    <w:rPr>
      <w:b/>
      <w:bCs/>
      <w:sz w:val="72"/>
      <w:szCs w:val="24"/>
    </w:rPr>
  </w:style>
  <w:style w:type="character" w:customStyle="1" w:styleId="TextoindependienteCar">
    <w:name w:val="Texto independiente Car"/>
    <w:basedOn w:val="Fuentedeprrafopredeter"/>
    <w:link w:val="Textoindependiente"/>
    <w:rsid w:val="00DD2430"/>
    <w:rPr>
      <w:b/>
      <w:bCs/>
      <w:sz w:val="72"/>
      <w:szCs w:val="24"/>
      <w:lang w:val="es-ES" w:eastAsia="es-ES"/>
    </w:rPr>
  </w:style>
  <w:style w:type="character" w:styleId="Hipervnculo">
    <w:name w:val="Hyperlink"/>
    <w:basedOn w:val="Fuentedeprrafopredeter"/>
    <w:unhideWhenUsed/>
    <w:rsid w:val="00533D1A"/>
    <w:rPr>
      <w:color w:val="0000FF" w:themeColor="hyperlink"/>
      <w:u w:val="single"/>
    </w:rPr>
  </w:style>
  <w:style w:type="paragraph" w:styleId="Sinespaciado">
    <w:name w:val="No Spacing"/>
    <w:uiPriority w:val="1"/>
    <w:qFormat/>
    <w:rsid w:val="00533D1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D2430"/>
    <w:pPr>
      <w:jc w:val="center"/>
    </w:pPr>
    <w:rPr>
      <w:b/>
      <w:bCs/>
      <w:sz w:val="72"/>
      <w:szCs w:val="24"/>
    </w:rPr>
  </w:style>
  <w:style w:type="character" w:customStyle="1" w:styleId="TextoindependienteCar">
    <w:name w:val="Texto independiente Car"/>
    <w:basedOn w:val="Fuentedeprrafopredeter"/>
    <w:link w:val="Textoindependiente"/>
    <w:rsid w:val="00DD2430"/>
    <w:rPr>
      <w:b/>
      <w:bCs/>
      <w:sz w:val="72"/>
      <w:szCs w:val="24"/>
      <w:lang w:val="es-ES" w:eastAsia="es-ES"/>
    </w:rPr>
  </w:style>
  <w:style w:type="character" w:styleId="Hipervnculo">
    <w:name w:val="Hyperlink"/>
    <w:basedOn w:val="Fuentedeprrafopredeter"/>
    <w:unhideWhenUsed/>
    <w:rsid w:val="00533D1A"/>
    <w:rPr>
      <w:color w:val="0000FF" w:themeColor="hyperlink"/>
      <w:u w:val="single"/>
    </w:rPr>
  </w:style>
  <w:style w:type="paragraph" w:styleId="Sinespaciado">
    <w:name w:val="No Spacing"/>
    <w:uiPriority w:val="1"/>
    <w:qFormat/>
    <w:rsid w:val="00533D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268">
      <w:bodyDiv w:val="1"/>
      <w:marLeft w:val="0"/>
      <w:marRight w:val="0"/>
      <w:marTop w:val="0"/>
      <w:marBottom w:val="0"/>
      <w:divBdr>
        <w:top w:val="none" w:sz="0" w:space="0" w:color="auto"/>
        <w:left w:val="none" w:sz="0" w:space="0" w:color="auto"/>
        <w:bottom w:val="none" w:sz="0" w:space="0" w:color="auto"/>
        <w:right w:val="none" w:sz="0" w:space="0" w:color="auto"/>
      </w:divBdr>
    </w:div>
    <w:div w:id="140098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2014-08-13T21:19:00Z</cp:lastPrinted>
  <dcterms:created xsi:type="dcterms:W3CDTF">2017-09-20T18:09:00Z</dcterms:created>
  <dcterms:modified xsi:type="dcterms:W3CDTF">2021-06-07T20:11:00Z</dcterms:modified>
</cp:coreProperties>
</file>