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53" w:rsidRDefault="00B90C53" w:rsidP="00B90C53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6D02150" wp14:editId="699AC4EA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53" w:rsidRDefault="00B90C53" w:rsidP="00B90C53">
      <w:pPr>
        <w:rPr>
          <w:b/>
          <w:sz w:val="18"/>
          <w:szCs w:val="18"/>
        </w:rPr>
      </w:pPr>
    </w:p>
    <w:p w:rsidR="00B90C53" w:rsidRDefault="00B90C53" w:rsidP="00B90C53">
      <w:pPr>
        <w:jc w:val="center"/>
        <w:rPr>
          <w:b/>
          <w:sz w:val="18"/>
          <w:szCs w:val="18"/>
        </w:rPr>
      </w:pPr>
    </w:p>
    <w:p w:rsidR="00B90C53" w:rsidRDefault="00B90C53" w:rsidP="00B90C53">
      <w:pPr>
        <w:jc w:val="center"/>
        <w:rPr>
          <w:b/>
          <w:szCs w:val="24"/>
          <w:u w:val="single"/>
        </w:rPr>
      </w:pPr>
    </w:p>
    <w:p w:rsidR="00B90C53" w:rsidRPr="00564384" w:rsidRDefault="00B90C53" w:rsidP="00B90C53">
      <w:pPr>
        <w:jc w:val="center"/>
        <w:rPr>
          <w:b/>
          <w:szCs w:val="24"/>
          <w:u w:val="single"/>
        </w:rPr>
      </w:pPr>
    </w:p>
    <w:p w:rsidR="00B90C53" w:rsidRPr="00B90C53" w:rsidRDefault="00B90C53" w:rsidP="00B90C53">
      <w:pPr>
        <w:jc w:val="center"/>
        <w:rPr>
          <w:sz w:val="24"/>
          <w:szCs w:val="24"/>
          <w:u w:val="single"/>
        </w:rPr>
      </w:pPr>
      <w:r w:rsidRPr="00BD659C">
        <w:rPr>
          <w:b/>
          <w:sz w:val="24"/>
          <w:szCs w:val="24"/>
          <w:u w:val="single"/>
        </w:rPr>
        <w:t>INFORMACIÓN PARA PACIENTES:   “</w:t>
      </w:r>
      <w:r w:rsidRPr="006E6B61">
        <w:rPr>
          <w:b/>
          <w:sz w:val="24"/>
          <w:szCs w:val="24"/>
          <w:u w:val="single"/>
        </w:rPr>
        <w:t>IMPLANTE DE CEMENTOS BIOLOGICOS</w:t>
      </w:r>
      <w:r w:rsidRPr="00BD659C">
        <w:rPr>
          <w:b/>
          <w:sz w:val="24"/>
          <w:szCs w:val="24"/>
          <w:u w:val="single"/>
        </w:rPr>
        <w:t>”</w:t>
      </w:r>
    </w:p>
    <w:p w:rsidR="00B90C53" w:rsidRPr="00FD53A1" w:rsidRDefault="00B90C53" w:rsidP="00B90C53">
      <w:pPr>
        <w:jc w:val="center"/>
        <w:rPr>
          <w:b/>
          <w:sz w:val="24"/>
          <w:szCs w:val="24"/>
          <w:u w:val="single"/>
        </w:rPr>
      </w:pPr>
    </w:p>
    <w:p w:rsidR="00B90C53" w:rsidRPr="00BD659C" w:rsidRDefault="00B90C53" w:rsidP="00B90C53">
      <w:pPr>
        <w:pStyle w:val="Sinespaciado"/>
        <w:jc w:val="both"/>
        <w:rPr>
          <w:b/>
          <w:sz w:val="24"/>
          <w:szCs w:val="24"/>
        </w:rPr>
      </w:pPr>
    </w:p>
    <w:p w:rsidR="00C20ACA" w:rsidRDefault="00C20ACA" w:rsidP="00C20ACA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C20ACA" w:rsidRPr="001C5256" w:rsidRDefault="00C20ACA" w:rsidP="00C20ACA">
      <w:pPr>
        <w:jc w:val="both"/>
        <w:rPr>
          <w:sz w:val="24"/>
        </w:rPr>
      </w:pPr>
    </w:p>
    <w:p w:rsidR="00C20ACA" w:rsidRPr="001C5256" w:rsidRDefault="00C20ACA" w:rsidP="00C20ACA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BE6E36" w:rsidRPr="00B90C53" w:rsidRDefault="00BE6E36" w:rsidP="00BE6E36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BE6E36" w:rsidRPr="00B90C53" w:rsidRDefault="00BE6E36" w:rsidP="006E6B61">
      <w:pPr>
        <w:jc w:val="both"/>
        <w:rPr>
          <w:b/>
          <w:sz w:val="24"/>
          <w:szCs w:val="24"/>
        </w:rPr>
      </w:pPr>
      <w:r w:rsidRPr="00B90C53">
        <w:rPr>
          <w:b/>
          <w:sz w:val="24"/>
          <w:szCs w:val="24"/>
        </w:rPr>
        <w:t>Objetivos del procedimiento:</w:t>
      </w:r>
    </w:p>
    <w:p w:rsidR="00DA7FB5" w:rsidRPr="00B90C53" w:rsidRDefault="00DA7FB5" w:rsidP="006E6B6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El propósito principal de la intervención consiste en rellenar un defecto óseo consecutivo a la resección de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 xml:space="preserve">una lesión </w:t>
      </w:r>
      <w:proofErr w:type="spellStart"/>
      <w:r w:rsidRPr="00B90C53">
        <w:rPr>
          <w:color w:val="000000"/>
          <w:sz w:val="24"/>
          <w:szCs w:val="24"/>
          <w:lang w:val="es-CL" w:eastAsia="es-CL"/>
        </w:rPr>
        <w:t>intraósea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 xml:space="preserve"> ocupante de espacio, a una fractura con compactación del hueso esponjoso o a la acción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de un granuloma inflamatorio.</w:t>
      </w:r>
    </w:p>
    <w:p w:rsidR="00BE6E36" w:rsidRPr="00B90C53" w:rsidRDefault="00BE6E36" w:rsidP="006E6B61">
      <w:pPr>
        <w:jc w:val="both"/>
        <w:rPr>
          <w:sz w:val="24"/>
          <w:szCs w:val="24"/>
        </w:rPr>
      </w:pPr>
    </w:p>
    <w:p w:rsidR="00BE6E36" w:rsidRPr="00B90C53" w:rsidRDefault="00BE6E36" w:rsidP="006E6B61">
      <w:pPr>
        <w:jc w:val="both"/>
        <w:rPr>
          <w:b/>
          <w:sz w:val="24"/>
          <w:szCs w:val="24"/>
        </w:rPr>
      </w:pPr>
      <w:r w:rsidRPr="00B90C53">
        <w:rPr>
          <w:b/>
          <w:sz w:val="24"/>
          <w:szCs w:val="24"/>
        </w:rPr>
        <w:t>Descripción del procedimiento:</w:t>
      </w:r>
    </w:p>
    <w:p w:rsidR="00DA7FB5" w:rsidRPr="00B90C53" w:rsidRDefault="00DA7FB5" w:rsidP="006E6B6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La intervención consiste en rellenar una cavidad localizada en el interior de un hueso que normalmente debería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estar ocupada por tejido óseo. Salvo en los casos consecutivos a fracturas, previamente al relleno, es necesario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vaciar la cavidad de su contenido y tratar sus paredes para disminuir las posibilidades de reanudación o recidiva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del proceso que eliminó el tejido óseo normal. Para llevar a cabo este propósito puede ser necesario realizar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una o varias de las siguientes técnicas quirúrgicas: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Abordaje de la lesión ósea, que dependerá en gran medida del tipo de patología desencadenante.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 Realización de una ventana en el hueso afectado (sólo para lesiones cerradas).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Vaciado del contenido de la cavidad.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proofErr w:type="spellStart"/>
      <w:r w:rsidRPr="00B90C53">
        <w:rPr>
          <w:color w:val="000000"/>
          <w:sz w:val="24"/>
          <w:szCs w:val="24"/>
          <w:lang w:val="es-CL" w:eastAsia="es-CL"/>
        </w:rPr>
        <w:t>Curetaje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 xml:space="preserve"> de las paredes de la cavidad.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En algunas lesiones de origen tumoral puede estar indicada la ampliación del margen de seguridad mediante el tratamiento de las paredes de la cavidad; este tratamiento puede ser mecánico (fresado), químico (</w:t>
      </w:r>
      <w:proofErr w:type="spellStart"/>
      <w:r w:rsidRPr="00B90C53">
        <w:rPr>
          <w:color w:val="000000"/>
          <w:sz w:val="24"/>
          <w:szCs w:val="24"/>
          <w:lang w:val="es-CL" w:eastAsia="es-CL"/>
        </w:rPr>
        <w:t>pincelaciones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 xml:space="preserve"> con una solución de fenol) o térmico (relleno con nitrógeno líquido).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Relleno de la cavidad con el cemento elegido.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Fijación del tape óseo de la ventana. Puede realizarse con puntos </w:t>
      </w:r>
      <w:proofErr w:type="spellStart"/>
      <w:r w:rsidRPr="00B90C53">
        <w:rPr>
          <w:color w:val="000000"/>
          <w:sz w:val="24"/>
          <w:szCs w:val="24"/>
          <w:lang w:val="es-CL" w:eastAsia="es-CL"/>
        </w:rPr>
        <w:t>transóseos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 xml:space="preserve"> o con material de osteosíntesis metálico.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En algunas ocasiones puede estar indicada la utilización de un material de osteosíntesis de soporte.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Inmovilización provisional de las articulaciones adyacentes a los huesos tratados.</w:t>
      </w:r>
    </w:p>
    <w:p w:rsidR="00DA7FB5" w:rsidRPr="00B90C53" w:rsidRDefault="00DA7FB5" w:rsidP="006E6B6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Inserción de sistemas de drenaje.</w:t>
      </w:r>
    </w:p>
    <w:p w:rsidR="00DA7FB5" w:rsidRPr="00B90C53" w:rsidRDefault="00DA7FB5" w:rsidP="006E6B6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La intervención precisa de anestesia, cuyo tipo y modalidad serán valoradas por el Servicio de Anestesia y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Reanimación.</w:t>
      </w:r>
    </w:p>
    <w:p w:rsidR="00DA7FB5" w:rsidRPr="00B90C53" w:rsidRDefault="00DA7FB5" w:rsidP="006E6B6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Toda intervención quirúrgica, tanto por la propia técnica operatoria como por la situación vital de cada paciente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(diabetes, cardiopatía, hipertensión, edad avanzada, anemia, obesidad...), lleva implícitas una serie de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complicaciones, comunes y potencialmente serias, que podrían requerir tratamientos complementarios, tanto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médicos como quirúrgicos y que, en un mínimo porcentaje de casos, pueden ser causa de muerte.</w:t>
      </w:r>
    </w:p>
    <w:p w:rsidR="00DA7FB5" w:rsidRPr="00B90C53" w:rsidRDefault="00DA7FB5" w:rsidP="006E6B61">
      <w:pPr>
        <w:jc w:val="both"/>
        <w:rPr>
          <w:b/>
          <w:sz w:val="24"/>
          <w:szCs w:val="24"/>
        </w:rPr>
      </w:pPr>
    </w:p>
    <w:p w:rsidR="00BE6E36" w:rsidRPr="00B90C53" w:rsidRDefault="00BE6E36" w:rsidP="006E6B61">
      <w:pPr>
        <w:jc w:val="both"/>
        <w:rPr>
          <w:b/>
          <w:sz w:val="24"/>
          <w:szCs w:val="24"/>
        </w:rPr>
      </w:pPr>
      <w:r w:rsidRPr="00B90C53">
        <w:rPr>
          <w:b/>
          <w:sz w:val="24"/>
          <w:szCs w:val="24"/>
        </w:rPr>
        <w:t>Riesgos del procedimiento:</w:t>
      </w:r>
    </w:p>
    <w:p w:rsidR="00DA7FB5" w:rsidRPr="00B90C53" w:rsidRDefault="00DA7FB5" w:rsidP="006E6B6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Las complicaciones de las intervenciones quirúrgicas para IMPLANTE DE CEMENTOS BIOLÓGICOS Y/O CERÁMICOS</w:t>
      </w:r>
      <w:r w:rsidR="005853A7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pueden ser muy variadas: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Enfermedad </w:t>
      </w:r>
      <w:proofErr w:type="spellStart"/>
      <w:r w:rsidRPr="00B90C53">
        <w:rPr>
          <w:color w:val="000000"/>
          <w:sz w:val="24"/>
          <w:szCs w:val="24"/>
          <w:lang w:val="es-CL" w:eastAsia="es-CL"/>
        </w:rPr>
        <w:t>tromboembólica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>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Lesión de los vasos, arteriales y/o venosos, adyacentes.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lastRenderedPageBreak/>
        <w:t>Lesión, parcial o total y provisional o permanente, de los troncos nerviosos adyacentes.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Lesión, a medio o largo plazo, de los nervios descomprimidos, por falta de aporte sanguíneo.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Lesión de los músculos, ligamentos y tendones adyacentes.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Osificaciones y/o calcificaciones en las zonas de despegamiento muscular.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Infección de la herida quirúrgica que, según su gravedad y profundidad, puede llegar a afectar a articulaciones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y huesos adyacentes.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Infección de la cavidad ósea rellena por el cemento en cuestión. Pueden ser precoces o tardías.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Intolerancia o reacciones alérgicas al material implantado.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Hematomas en los labios de la herida o a nivel subcutáneo.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Cicatrices hipertróficas.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Rigidez de las articulaciones adyacentes, generalmente de carácter pasajero.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Síndromes </w:t>
      </w:r>
      <w:proofErr w:type="spellStart"/>
      <w:r w:rsidRPr="00B90C53">
        <w:rPr>
          <w:color w:val="000000"/>
          <w:sz w:val="24"/>
          <w:szCs w:val="24"/>
          <w:lang w:val="es-CL" w:eastAsia="es-CL"/>
        </w:rPr>
        <w:t>algodistróficos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 xml:space="preserve"> por trastorno vasomotor.</w:t>
      </w:r>
    </w:p>
    <w:p w:rsidR="00DA7FB5" w:rsidRPr="00B90C53" w:rsidRDefault="00DA7FB5" w:rsidP="006E6B61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Síndromes </w:t>
      </w:r>
      <w:proofErr w:type="spellStart"/>
      <w:r w:rsidRPr="00B90C53">
        <w:rPr>
          <w:color w:val="000000"/>
          <w:sz w:val="24"/>
          <w:szCs w:val="24"/>
          <w:lang w:val="es-CL" w:eastAsia="es-CL"/>
        </w:rPr>
        <w:t>compartimentales</w:t>
      </w:r>
      <w:proofErr w:type="spellEnd"/>
      <w:r w:rsidRPr="00B90C53">
        <w:rPr>
          <w:color w:val="000000"/>
          <w:sz w:val="24"/>
          <w:szCs w:val="24"/>
          <w:lang w:val="es-CL" w:eastAsia="es-CL"/>
        </w:rPr>
        <w:t>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 Retardo o ausencia de consolidación de la tapadera de la ventana ósea.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Fracturas a nivel de la zona ósea tratada.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Intolerancia al material de osteosíntesis (especialmente en fijadores externos).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Rotura del material de osteosíntesis.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Infecciones secundarias en torno al material de osteosíntesis.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Menos frecuentemente, pueden presentarse complicaciones cardiopulmonares, urológicas, gastrointestinales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="0092656D" w:rsidRPr="00B90C53">
        <w:rPr>
          <w:color w:val="000000"/>
          <w:sz w:val="24"/>
          <w:szCs w:val="24"/>
          <w:lang w:val="es-CL" w:eastAsia="es-CL"/>
        </w:rPr>
        <w:t xml:space="preserve">y confusión mental </w:t>
      </w:r>
      <w:r w:rsidRPr="00B90C53">
        <w:rPr>
          <w:color w:val="000000"/>
          <w:sz w:val="24"/>
          <w:szCs w:val="24"/>
          <w:lang w:val="es-CL" w:eastAsia="es-CL"/>
        </w:rPr>
        <w:t>postoperatoria, sobre todo en pacientes de edad avanzada.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En casos excepcionales, y como consecuencia de lesiones de vasos importantes, podría llegar a ser necesaria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la realización de transfusiones sanguíneas.</w:t>
      </w:r>
    </w:p>
    <w:p w:rsidR="00DA7FB5" w:rsidRPr="00B90C53" w:rsidRDefault="00DA7FB5" w:rsidP="0092656D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>En pacientes con pieles muy sensibles, la presión del manguito neumático que se utiliza en algunos casos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para operar en condiciones de isquemia, o incluso el contacto del producto adhesivo de los apósitos, puede</w:t>
      </w:r>
      <w:r w:rsidR="009D116D" w:rsidRPr="00B90C53">
        <w:rPr>
          <w:color w:val="000000"/>
          <w:sz w:val="24"/>
          <w:szCs w:val="24"/>
          <w:lang w:val="es-CL" w:eastAsia="es-CL"/>
        </w:rPr>
        <w:t xml:space="preserve"> </w:t>
      </w:r>
      <w:r w:rsidRPr="00B90C53">
        <w:rPr>
          <w:color w:val="000000"/>
          <w:sz w:val="24"/>
          <w:szCs w:val="24"/>
          <w:lang w:val="es-CL" w:eastAsia="es-CL"/>
        </w:rPr>
        <w:t>dar lugar a pequeñas lesiones cutáneas superficiales (enrojecimiento, ampollas...).</w:t>
      </w:r>
    </w:p>
    <w:p w:rsidR="00BE6E36" w:rsidRPr="00B90C53" w:rsidRDefault="00BE6E36" w:rsidP="006E6B61">
      <w:pPr>
        <w:jc w:val="both"/>
        <w:rPr>
          <w:sz w:val="24"/>
          <w:szCs w:val="24"/>
        </w:rPr>
      </w:pPr>
    </w:p>
    <w:p w:rsidR="00BE6E36" w:rsidRPr="00B90C53" w:rsidRDefault="00BE6E36" w:rsidP="006E6B61">
      <w:pPr>
        <w:jc w:val="both"/>
        <w:rPr>
          <w:b/>
          <w:sz w:val="24"/>
          <w:szCs w:val="24"/>
        </w:rPr>
      </w:pPr>
      <w:r w:rsidRPr="00B90C53">
        <w:rPr>
          <w:b/>
          <w:sz w:val="24"/>
          <w:szCs w:val="24"/>
        </w:rPr>
        <w:t>Alternativas al procedimiento propuesto:</w:t>
      </w:r>
    </w:p>
    <w:p w:rsidR="00DA7FB5" w:rsidRPr="00B90C53" w:rsidRDefault="00DA7FB5" w:rsidP="006E6B61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CL" w:eastAsia="es-CL"/>
        </w:rPr>
      </w:pPr>
      <w:r w:rsidRPr="00B90C53">
        <w:rPr>
          <w:color w:val="000000"/>
          <w:sz w:val="24"/>
          <w:szCs w:val="24"/>
          <w:lang w:val="es-CL" w:eastAsia="es-CL"/>
        </w:rPr>
        <w:t xml:space="preserve"> No existen.</w:t>
      </w:r>
    </w:p>
    <w:p w:rsidR="006E6B61" w:rsidRPr="00B90C53" w:rsidRDefault="006E6B61" w:rsidP="006E6B61">
      <w:pPr>
        <w:jc w:val="both"/>
        <w:rPr>
          <w:b/>
          <w:sz w:val="24"/>
          <w:szCs w:val="24"/>
        </w:rPr>
      </w:pPr>
    </w:p>
    <w:p w:rsidR="00BE6E36" w:rsidRPr="00B90C53" w:rsidRDefault="00BE6E36" w:rsidP="006E6B61">
      <w:pPr>
        <w:jc w:val="both"/>
        <w:rPr>
          <w:b/>
          <w:sz w:val="24"/>
          <w:szCs w:val="24"/>
        </w:rPr>
      </w:pPr>
      <w:r w:rsidRPr="00B90C53">
        <w:rPr>
          <w:b/>
          <w:sz w:val="24"/>
          <w:szCs w:val="24"/>
        </w:rPr>
        <w:t>Consecuencias de no aceptar el procedimiento:</w:t>
      </w:r>
    </w:p>
    <w:p w:rsidR="00BE6E36" w:rsidRPr="00B90C53" w:rsidRDefault="00013068" w:rsidP="006E6B61">
      <w:pPr>
        <w:jc w:val="both"/>
        <w:rPr>
          <w:sz w:val="24"/>
          <w:szCs w:val="24"/>
        </w:rPr>
      </w:pPr>
      <w:r w:rsidRPr="00B90C53">
        <w:rPr>
          <w:sz w:val="24"/>
          <w:szCs w:val="24"/>
        </w:rPr>
        <w:t>Dolor, inestabilidad de la estructura afectada, perdida de la funcionalidad.</w:t>
      </w:r>
    </w:p>
    <w:p w:rsidR="006E6B61" w:rsidRPr="00B90C53" w:rsidRDefault="006E6B61" w:rsidP="006E6B61">
      <w:pPr>
        <w:jc w:val="both"/>
        <w:rPr>
          <w:b/>
          <w:sz w:val="24"/>
          <w:szCs w:val="24"/>
        </w:rPr>
      </w:pPr>
    </w:p>
    <w:p w:rsidR="00DA7FB5" w:rsidRPr="00B90C53" w:rsidRDefault="00BE6E36" w:rsidP="006E6B61">
      <w:pPr>
        <w:jc w:val="both"/>
        <w:rPr>
          <w:b/>
          <w:sz w:val="24"/>
          <w:szCs w:val="24"/>
        </w:rPr>
      </w:pPr>
      <w:r w:rsidRPr="00B90C53">
        <w:rPr>
          <w:b/>
          <w:sz w:val="24"/>
          <w:szCs w:val="24"/>
        </w:rPr>
        <w:t>Mecanismo para solicitar más información:</w:t>
      </w:r>
    </w:p>
    <w:p w:rsidR="00BE6E36" w:rsidRPr="00B90C53" w:rsidRDefault="00013068" w:rsidP="006E6B61">
      <w:pPr>
        <w:jc w:val="both"/>
        <w:rPr>
          <w:sz w:val="24"/>
          <w:szCs w:val="24"/>
        </w:rPr>
      </w:pPr>
      <w:r w:rsidRPr="00B90C53">
        <w:rPr>
          <w:sz w:val="24"/>
          <w:szCs w:val="24"/>
        </w:rPr>
        <w:t>Su médico tratante, jefe de servicio</w:t>
      </w:r>
      <w:r w:rsidR="00287184" w:rsidRPr="00B90C53">
        <w:rPr>
          <w:sz w:val="24"/>
          <w:szCs w:val="24"/>
        </w:rPr>
        <w:t>.</w:t>
      </w:r>
    </w:p>
    <w:p w:rsidR="009D116D" w:rsidRPr="00B90C53" w:rsidRDefault="009D116D" w:rsidP="009D116D">
      <w:pPr>
        <w:jc w:val="both"/>
        <w:rPr>
          <w:sz w:val="24"/>
          <w:szCs w:val="24"/>
        </w:rPr>
      </w:pPr>
    </w:p>
    <w:p w:rsidR="00A039C5" w:rsidRPr="00B90C53" w:rsidRDefault="00A039C5" w:rsidP="00A039C5">
      <w:pPr>
        <w:pStyle w:val="Default"/>
      </w:pPr>
      <w:r w:rsidRPr="00B90C53">
        <w:rPr>
          <w:b/>
          <w:bCs/>
        </w:rPr>
        <w:t xml:space="preserve">Revocabilidad </w:t>
      </w:r>
    </w:p>
    <w:p w:rsidR="00A039C5" w:rsidRPr="00B90C53" w:rsidRDefault="00A039C5" w:rsidP="00A039C5">
      <w:pPr>
        <w:pStyle w:val="Textoindependiente"/>
        <w:rPr>
          <w:rFonts w:ascii="Times New Roman" w:hAnsi="Times New Roman"/>
          <w:b/>
          <w:bCs/>
          <w:szCs w:val="24"/>
        </w:rPr>
      </w:pPr>
      <w:r w:rsidRPr="00B90C53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A039C5" w:rsidRPr="00B90C53" w:rsidRDefault="00A039C5" w:rsidP="00A039C5">
      <w:pPr>
        <w:rPr>
          <w:sz w:val="24"/>
          <w:szCs w:val="24"/>
        </w:rPr>
      </w:pPr>
    </w:p>
    <w:p w:rsidR="00A039C5" w:rsidRPr="00B90C53" w:rsidRDefault="00A039C5" w:rsidP="00A039C5">
      <w:pPr>
        <w:rPr>
          <w:sz w:val="24"/>
          <w:szCs w:val="24"/>
        </w:rPr>
      </w:pPr>
    </w:p>
    <w:sectPr w:rsidR="00A039C5" w:rsidRPr="00B90C53" w:rsidSect="00B90C53">
      <w:pgSz w:w="12240" w:h="15840" w:code="1"/>
      <w:pgMar w:top="426" w:right="1183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2F16798"/>
    <w:multiLevelType w:val="hybridMultilevel"/>
    <w:tmpl w:val="152827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B4F69"/>
    <w:multiLevelType w:val="hybridMultilevel"/>
    <w:tmpl w:val="581CB0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71E15"/>
    <w:multiLevelType w:val="hybridMultilevel"/>
    <w:tmpl w:val="AA74B19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A473FFE"/>
    <w:multiLevelType w:val="hybridMultilevel"/>
    <w:tmpl w:val="6F7AF6BA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13068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87184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07E5C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853A7"/>
    <w:rsid w:val="0059309F"/>
    <w:rsid w:val="00596A49"/>
    <w:rsid w:val="005A3728"/>
    <w:rsid w:val="005A38F0"/>
    <w:rsid w:val="005A635E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2631"/>
    <w:rsid w:val="006E3D76"/>
    <w:rsid w:val="006E6B61"/>
    <w:rsid w:val="006F75C4"/>
    <w:rsid w:val="007034E5"/>
    <w:rsid w:val="00707A6E"/>
    <w:rsid w:val="00707FA7"/>
    <w:rsid w:val="00711D79"/>
    <w:rsid w:val="0071583B"/>
    <w:rsid w:val="007175F1"/>
    <w:rsid w:val="00735995"/>
    <w:rsid w:val="0073616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2656D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16D"/>
    <w:rsid w:val="009D1AFD"/>
    <w:rsid w:val="009D5CEE"/>
    <w:rsid w:val="009D7213"/>
    <w:rsid w:val="00A039C5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90C53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0ACA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128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662A8"/>
    <w:rsid w:val="00D7040F"/>
    <w:rsid w:val="00D71327"/>
    <w:rsid w:val="00D73547"/>
    <w:rsid w:val="00D80F84"/>
    <w:rsid w:val="00DA6FA7"/>
    <w:rsid w:val="00DA7D34"/>
    <w:rsid w:val="00DA7FB5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1140C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039C5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39C5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B90C5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90C5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A039C5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39C5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B90C5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90C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2013-09-25T15:47:00Z</cp:lastPrinted>
  <dcterms:created xsi:type="dcterms:W3CDTF">2017-09-20T19:43:00Z</dcterms:created>
  <dcterms:modified xsi:type="dcterms:W3CDTF">2021-06-07T20:13:00Z</dcterms:modified>
</cp:coreProperties>
</file>