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A9" w:rsidRDefault="006502A9" w:rsidP="006502A9">
      <w:r>
        <w:rPr>
          <w:noProof/>
          <w:lang w:val="es-CL" w:eastAsia="es-CL"/>
        </w:rPr>
        <w:drawing>
          <wp:anchor distT="0" distB="0" distL="114300" distR="114300" simplePos="0" relativeHeight="251659264" behindDoc="1" locked="0" layoutInCell="1" allowOverlap="1" wp14:anchorId="53F8A103" wp14:editId="0445C5E3">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2A9" w:rsidRDefault="006502A9" w:rsidP="006502A9">
      <w:pPr>
        <w:tabs>
          <w:tab w:val="left" w:pos="1920"/>
          <w:tab w:val="center" w:pos="4126"/>
          <w:tab w:val="center" w:pos="4419"/>
          <w:tab w:val="left" w:pos="7215"/>
        </w:tabs>
        <w:rPr>
          <w:b/>
          <w:sz w:val="24"/>
          <w:szCs w:val="24"/>
          <w:u w:val="single"/>
        </w:rPr>
      </w:pPr>
    </w:p>
    <w:p w:rsidR="006502A9" w:rsidRDefault="006502A9" w:rsidP="006502A9">
      <w:pPr>
        <w:tabs>
          <w:tab w:val="left" w:pos="1920"/>
          <w:tab w:val="center" w:pos="4126"/>
          <w:tab w:val="center" w:pos="4419"/>
          <w:tab w:val="left" w:pos="7215"/>
        </w:tabs>
        <w:rPr>
          <w:b/>
          <w:sz w:val="24"/>
          <w:szCs w:val="24"/>
          <w:u w:val="single"/>
        </w:rPr>
      </w:pPr>
    </w:p>
    <w:p w:rsidR="006502A9" w:rsidRDefault="006502A9" w:rsidP="006502A9">
      <w:pPr>
        <w:tabs>
          <w:tab w:val="left" w:pos="1920"/>
          <w:tab w:val="center" w:pos="4126"/>
          <w:tab w:val="center" w:pos="4419"/>
          <w:tab w:val="left" w:pos="7215"/>
        </w:tabs>
        <w:rPr>
          <w:b/>
          <w:sz w:val="24"/>
          <w:szCs w:val="24"/>
          <w:u w:val="single"/>
        </w:rPr>
      </w:pPr>
    </w:p>
    <w:p w:rsidR="006502A9" w:rsidRDefault="006502A9" w:rsidP="006502A9">
      <w:pPr>
        <w:tabs>
          <w:tab w:val="left" w:pos="1920"/>
          <w:tab w:val="center" w:pos="4126"/>
          <w:tab w:val="center" w:pos="4419"/>
          <w:tab w:val="left" w:pos="7215"/>
        </w:tabs>
        <w:jc w:val="center"/>
        <w:rPr>
          <w:b/>
          <w:sz w:val="24"/>
          <w:szCs w:val="24"/>
          <w:u w:val="single"/>
        </w:rPr>
      </w:pPr>
      <w:r w:rsidRPr="00C651C3">
        <w:rPr>
          <w:b/>
          <w:sz w:val="24"/>
          <w:szCs w:val="24"/>
          <w:u w:val="single"/>
        </w:rPr>
        <w:t xml:space="preserve">INFORMACIÓN PARA PACIENTES: </w:t>
      </w:r>
    </w:p>
    <w:p w:rsidR="006502A9" w:rsidRPr="00C651C3" w:rsidRDefault="006502A9" w:rsidP="006502A9">
      <w:pPr>
        <w:tabs>
          <w:tab w:val="left" w:pos="1920"/>
          <w:tab w:val="center" w:pos="4126"/>
          <w:tab w:val="center" w:pos="4419"/>
          <w:tab w:val="left" w:pos="7215"/>
        </w:tabs>
        <w:jc w:val="center"/>
        <w:rPr>
          <w:b/>
          <w:sz w:val="24"/>
          <w:szCs w:val="24"/>
          <w:u w:val="single"/>
        </w:rPr>
      </w:pPr>
      <w:r w:rsidRPr="00C651C3">
        <w:rPr>
          <w:b/>
          <w:sz w:val="24"/>
          <w:szCs w:val="24"/>
          <w:u w:val="single"/>
        </w:rPr>
        <w:t>“</w:t>
      </w:r>
      <w:r w:rsidRPr="008C7F9C">
        <w:rPr>
          <w:b/>
          <w:sz w:val="24"/>
          <w:szCs w:val="24"/>
          <w:u w:val="single"/>
        </w:rPr>
        <w:t>INSTRUMENTACION Y ARTRODOSIS VERTEBRAL</w:t>
      </w:r>
      <w:r w:rsidR="00A91880">
        <w:rPr>
          <w:b/>
          <w:sz w:val="24"/>
          <w:szCs w:val="24"/>
          <w:u w:val="single"/>
        </w:rPr>
        <w:t>”</w:t>
      </w:r>
    </w:p>
    <w:p w:rsidR="006502A9" w:rsidRPr="00C651C3" w:rsidRDefault="006502A9" w:rsidP="006502A9">
      <w:pPr>
        <w:pStyle w:val="Subttulo"/>
      </w:pPr>
    </w:p>
    <w:p w:rsidR="005A48C5" w:rsidRDefault="005A48C5" w:rsidP="005A48C5">
      <w:pPr>
        <w:jc w:val="both"/>
        <w:rPr>
          <w:sz w:val="24"/>
        </w:rPr>
      </w:pPr>
      <w:r w:rsidRPr="001C5256">
        <w:rPr>
          <w:sz w:val="24"/>
        </w:rPr>
        <w:t>El presente documento permite entregar información al paciente respecto a la cirugía específica  a realizar,  por lo que NO CONSTITUYE  EL CONSENTIMIENTO INFORMADO.</w:t>
      </w:r>
    </w:p>
    <w:p w:rsidR="005A48C5" w:rsidRPr="001C5256" w:rsidRDefault="005A48C5" w:rsidP="005A48C5">
      <w:pPr>
        <w:jc w:val="both"/>
        <w:rPr>
          <w:sz w:val="24"/>
        </w:rPr>
      </w:pPr>
    </w:p>
    <w:p w:rsidR="005A48C5" w:rsidRPr="001C5256" w:rsidRDefault="005A48C5" w:rsidP="005A48C5">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8C7F9C" w:rsidRPr="00CF7C9F" w:rsidRDefault="006502A9" w:rsidP="006502A9">
      <w:pPr>
        <w:tabs>
          <w:tab w:val="left" w:pos="6804"/>
        </w:tabs>
        <w:rPr>
          <w:sz w:val="16"/>
          <w:szCs w:val="16"/>
        </w:rPr>
      </w:pPr>
      <w:bookmarkStart w:id="0" w:name="_GoBack"/>
      <w:bookmarkEnd w:id="0"/>
      <w:r w:rsidRPr="00E822FC">
        <w:rPr>
          <w:sz w:val="24"/>
          <w:szCs w:val="24"/>
        </w:rPr>
        <w:tab/>
      </w:r>
    </w:p>
    <w:p w:rsidR="00BE6E36" w:rsidRPr="008C7F9C" w:rsidRDefault="00BE6E36" w:rsidP="00CF7C9F">
      <w:pPr>
        <w:spacing w:line="360" w:lineRule="auto"/>
        <w:jc w:val="both"/>
        <w:rPr>
          <w:b/>
          <w:sz w:val="22"/>
          <w:szCs w:val="22"/>
        </w:rPr>
      </w:pPr>
    </w:p>
    <w:p w:rsidR="00BE6E36" w:rsidRPr="006502A9" w:rsidRDefault="00BE6E36" w:rsidP="008C7F9C">
      <w:pPr>
        <w:jc w:val="both"/>
        <w:rPr>
          <w:b/>
          <w:sz w:val="24"/>
          <w:szCs w:val="24"/>
        </w:rPr>
      </w:pPr>
      <w:r w:rsidRPr="006502A9">
        <w:rPr>
          <w:b/>
          <w:sz w:val="24"/>
          <w:szCs w:val="24"/>
        </w:rPr>
        <w:t>Objetivos del procedimiento:</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Su objetivo es aliviar el dolor y mejorar la función alterada por la enfermedad o alteración vertebral.</w:t>
      </w:r>
    </w:p>
    <w:p w:rsidR="00BE6E36" w:rsidRPr="006502A9" w:rsidRDefault="00BE6E36" w:rsidP="008C7F9C">
      <w:pPr>
        <w:jc w:val="both"/>
        <w:rPr>
          <w:sz w:val="24"/>
          <w:szCs w:val="24"/>
        </w:rPr>
      </w:pPr>
    </w:p>
    <w:p w:rsidR="00BE6E36" w:rsidRPr="006502A9" w:rsidRDefault="00BE6E36" w:rsidP="008C7F9C">
      <w:pPr>
        <w:jc w:val="both"/>
        <w:rPr>
          <w:b/>
          <w:sz w:val="24"/>
          <w:szCs w:val="24"/>
        </w:rPr>
      </w:pPr>
      <w:r w:rsidRPr="006502A9">
        <w:rPr>
          <w:b/>
          <w:sz w:val="24"/>
          <w:szCs w:val="24"/>
        </w:rPr>
        <w:t>Descripción del procedimiento:</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La intervención consiste en la fusión vertebral mediante una instrumentación de columna (implantes metálicos, como barras y tornillos) y aporte de injerto óseo procedente de las propias vértebras y, en su caso, de las crestas ilíacas, propias o de cadáver.</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Durante la operación existe una pérdida sanguínea que puede requerir transfusiones.</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La intervención requiere la separación de músculos y la extirpación de diferentes estructuras ligamentosas o discales, así como de superficies o elementos óseos, y produce dolor variable en la zona operada que tiende a mejorar  con el tiempo.</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Tras la intervención puede precisar reposo en cama durante un tiempo variable, así como el uso posterior de un corsé y limitación de la actividad.</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La intervención precisa de anestesia, cuyo tipo y modalidad serán valoradas por el Servicio de Anestesia y Reanimación.</w:t>
      </w:r>
    </w:p>
    <w:p w:rsidR="00BE6E36" w:rsidRPr="006502A9" w:rsidRDefault="00BE6E36" w:rsidP="008C7F9C">
      <w:pPr>
        <w:jc w:val="both"/>
        <w:rPr>
          <w:sz w:val="24"/>
          <w:szCs w:val="24"/>
          <w:lang w:val="es-CL"/>
        </w:rPr>
      </w:pPr>
    </w:p>
    <w:p w:rsidR="00BE6E36" w:rsidRPr="006502A9" w:rsidRDefault="00BE6E36" w:rsidP="008C7F9C">
      <w:pPr>
        <w:jc w:val="both"/>
        <w:rPr>
          <w:b/>
          <w:sz w:val="24"/>
          <w:szCs w:val="24"/>
        </w:rPr>
      </w:pPr>
      <w:r w:rsidRPr="006502A9">
        <w:rPr>
          <w:b/>
          <w:sz w:val="24"/>
          <w:szCs w:val="24"/>
        </w:rPr>
        <w:t>Riesgos del procedimiento:</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Obstrucción venosa con formación de trombos e hinchazón de la pierna correspondiente que, en raras ocasiones, se complica con dolor torácico y dificultad respiratoria (embolia pulmonar) y que puede conducir incluso a la muerte.</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Infección de la herida quirúrgica superficial o profunda.</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Rotura de la duramadre y pérdida de líquido cefalorraquídeo.</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Lesión medular o de raíces nerviosas con secuelas neurológicas motoras (parálisis o disminución de fuerza), sensitivas (pérdida o alteración de la sensibilidad), pérdida de control de esfínteres o impotencia.</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Lesiones vasculares. Hematomas.</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Parálisis intestinal (</w:t>
      </w:r>
      <w:proofErr w:type="spellStart"/>
      <w:r w:rsidRPr="006502A9">
        <w:rPr>
          <w:color w:val="000000"/>
          <w:sz w:val="24"/>
          <w:szCs w:val="24"/>
          <w:lang w:val="es-CL" w:eastAsia="es-CL"/>
        </w:rPr>
        <w:t>Ileo</w:t>
      </w:r>
      <w:proofErr w:type="spellEnd"/>
      <w:r w:rsidRPr="006502A9">
        <w:rPr>
          <w:color w:val="000000"/>
          <w:sz w:val="24"/>
          <w:szCs w:val="24"/>
          <w:lang w:val="es-CL" w:eastAsia="es-CL"/>
        </w:rPr>
        <w:t xml:space="preserve"> paralítico), infección pulmonar, infección urinaria.</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proofErr w:type="spellStart"/>
      <w:r w:rsidRPr="006502A9">
        <w:rPr>
          <w:color w:val="000000"/>
          <w:sz w:val="24"/>
          <w:szCs w:val="24"/>
          <w:lang w:val="es-CL" w:eastAsia="es-CL"/>
        </w:rPr>
        <w:t>Pseudartrosis</w:t>
      </w:r>
      <w:proofErr w:type="spellEnd"/>
      <w:r w:rsidRPr="006502A9">
        <w:rPr>
          <w:color w:val="000000"/>
          <w:sz w:val="24"/>
          <w:szCs w:val="24"/>
          <w:lang w:val="es-CL" w:eastAsia="es-CL"/>
        </w:rPr>
        <w:t xml:space="preserve"> (no consecución de la artrodesis), rotura del material implantado.</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Contracturas musculares. Dolor local permanente.</w:t>
      </w:r>
    </w:p>
    <w:p w:rsidR="00CF7C9F" w:rsidRPr="006502A9" w:rsidRDefault="00CF7C9F" w:rsidP="008C7F9C">
      <w:pPr>
        <w:numPr>
          <w:ilvl w:val="0"/>
          <w:numId w:val="5"/>
        </w:numPr>
        <w:autoSpaceDE w:val="0"/>
        <w:autoSpaceDN w:val="0"/>
        <w:adjustRightInd w:val="0"/>
        <w:ind w:left="284" w:hanging="284"/>
        <w:jc w:val="both"/>
        <w:rPr>
          <w:color w:val="000000"/>
          <w:sz w:val="24"/>
          <w:szCs w:val="24"/>
          <w:lang w:val="es-CL" w:eastAsia="es-CL"/>
        </w:rPr>
      </w:pPr>
      <w:r w:rsidRPr="006502A9">
        <w:rPr>
          <w:color w:val="000000"/>
          <w:sz w:val="24"/>
          <w:szCs w:val="24"/>
          <w:lang w:val="es-CL" w:eastAsia="es-CL"/>
        </w:rPr>
        <w:t>En el caso de utilizar injerto óseo de cadáver, posible transmisión de las enfermedades virales que pudiera padecer el donante.</w:t>
      </w:r>
    </w:p>
    <w:p w:rsidR="00BE6E36" w:rsidRPr="006502A9" w:rsidRDefault="00BE6E36" w:rsidP="008C7F9C">
      <w:pPr>
        <w:jc w:val="both"/>
        <w:rPr>
          <w:sz w:val="24"/>
          <w:szCs w:val="24"/>
        </w:rPr>
      </w:pPr>
    </w:p>
    <w:p w:rsidR="00BE6E36" w:rsidRPr="006502A9" w:rsidRDefault="00BE6E36" w:rsidP="008C7F9C">
      <w:pPr>
        <w:jc w:val="both"/>
        <w:rPr>
          <w:b/>
          <w:sz w:val="24"/>
          <w:szCs w:val="24"/>
        </w:rPr>
      </w:pPr>
      <w:r w:rsidRPr="006502A9">
        <w:rPr>
          <w:b/>
          <w:sz w:val="24"/>
          <w:szCs w:val="24"/>
        </w:rPr>
        <w:t>Alternativas al procedimiento propuesto:</w:t>
      </w:r>
    </w:p>
    <w:p w:rsidR="00CF7C9F" w:rsidRPr="006502A9" w:rsidRDefault="00CF7C9F"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Como alternativa al tratamiento quirúrgico, dependiendo de cada caso, se puede usar un corsé, realizar tratamiento rehabilitador y tomar medicamentos analgésicos.</w:t>
      </w:r>
    </w:p>
    <w:p w:rsidR="004A1B30" w:rsidRPr="006502A9" w:rsidRDefault="004A1B30" w:rsidP="008C7F9C">
      <w:pPr>
        <w:jc w:val="both"/>
        <w:rPr>
          <w:b/>
          <w:sz w:val="24"/>
          <w:szCs w:val="24"/>
        </w:rPr>
      </w:pPr>
    </w:p>
    <w:p w:rsidR="00BE6E36" w:rsidRPr="006502A9" w:rsidRDefault="00BE6E36" w:rsidP="008C7F9C">
      <w:pPr>
        <w:jc w:val="both"/>
        <w:rPr>
          <w:b/>
          <w:sz w:val="24"/>
          <w:szCs w:val="24"/>
        </w:rPr>
      </w:pPr>
      <w:r w:rsidRPr="006502A9">
        <w:rPr>
          <w:b/>
          <w:sz w:val="24"/>
          <w:szCs w:val="24"/>
        </w:rPr>
        <w:t>Consecuencias de no aceptar el procedimiento:</w:t>
      </w:r>
    </w:p>
    <w:p w:rsidR="00BE6E36" w:rsidRPr="006502A9" w:rsidRDefault="00E94E41" w:rsidP="008C7F9C">
      <w:pPr>
        <w:jc w:val="both"/>
        <w:rPr>
          <w:sz w:val="24"/>
          <w:szCs w:val="24"/>
        </w:rPr>
      </w:pPr>
      <w:r w:rsidRPr="006502A9">
        <w:rPr>
          <w:sz w:val="24"/>
          <w:szCs w:val="24"/>
        </w:rPr>
        <w:t>Dolor vertebral por la alteración biomecánica, inestabilidad  y deformidad, degeneración del segmento articular, compresión medular o neural del canal raquídeo, perdida funcional de las actividades básicas de la vida diaria.</w:t>
      </w:r>
    </w:p>
    <w:p w:rsidR="009236EC" w:rsidRPr="006502A9" w:rsidRDefault="009236EC" w:rsidP="008C7F9C">
      <w:pPr>
        <w:jc w:val="both"/>
        <w:rPr>
          <w:sz w:val="24"/>
          <w:szCs w:val="24"/>
        </w:rPr>
      </w:pPr>
    </w:p>
    <w:p w:rsidR="00BE6E36" w:rsidRPr="006502A9" w:rsidRDefault="00BE6E36" w:rsidP="008C7F9C">
      <w:pPr>
        <w:jc w:val="both"/>
        <w:rPr>
          <w:b/>
          <w:sz w:val="24"/>
          <w:szCs w:val="24"/>
        </w:rPr>
      </w:pPr>
      <w:r w:rsidRPr="006502A9">
        <w:rPr>
          <w:b/>
          <w:sz w:val="24"/>
          <w:szCs w:val="24"/>
        </w:rPr>
        <w:t>Mecanismo para solicitar más información:</w:t>
      </w:r>
    </w:p>
    <w:p w:rsidR="00CF7C9F" w:rsidRPr="006502A9" w:rsidRDefault="00E94E41" w:rsidP="008C7F9C">
      <w:pPr>
        <w:autoSpaceDE w:val="0"/>
        <w:autoSpaceDN w:val="0"/>
        <w:adjustRightInd w:val="0"/>
        <w:jc w:val="both"/>
        <w:rPr>
          <w:color w:val="000000"/>
          <w:sz w:val="24"/>
          <w:szCs w:val="24"/>
          <w:lang w:val="es-CL" w:eastAsia="es-CL"/>
        </w:rPr>
      </w:pPr>
      <w:r w:rsidRPr="006502A9">
        <w:rPr>
          <w:color w:val="000000"/>
          <w:sz w:val="24"/>
          <w:szCs w:val="24"/>
          <w:lang w:val="es-CL" w:eastAsia="es-CL"/>
        </w:rPr>
        <w:t>Su médico tratante, jefe de servicio</w:t>
      </w:r>
      <w:r w:rsidR="00B032A9" w:rsidRPr="006502A9">
        <w:rPr>
          <w:color w:val="000000"/>
          <w:sz w:val="24"/>
          <w:szCs w:val="24"/>
          <w:lang w:val="es-CL" w:eastAsia="es-CL"/>
        </w:rPr>
        <w:t>.</w:t>
      </w:r>
    </w:p>
    <w:p w:rsidR="00BE6E36" w:rsidRPr="006502A9" w:rsidRDefault="00BE6E36" w:rsidP="009236EC">
      <w:pPr>
        <w:rPr>
          <w:sz w:val="24"/>
          <w:szCs w:val="24"/>
        </w:rPr>
      </w:pPr>
    </w:p>
    <w:p w:rsidR="004A1B30" w:rsidRPr="006502A9" w:rsidRDefault="004A1B30" w:rsidP="004A1B30">
      <w:pPr>
        <w:pStyle w:val="Default"/>
      </w:pPr>
      <w:r w:rsidRPr="006502A9">
        <w:rPr>
          <w:b/>
          <w:bCs/>
        </w:rPr>
        <w:t xml:space="preserve">Revocabilidad </w:t>
      </w:r>
    </w:p>
    <w:p w:rsidR="004A1B30" w:rsidRPr="006502A9" w:rsidRDefault="004A1B30" w:rsidP="004A1B30">
      <w:pPr>
        <w:pStyle w:val="Textoindependiente"/>
        <w:rPr>
          <w:rFonts w:ascii="Times New Roman" w:hAnsi="Times New Roman"/>
          <w:b/>
          <w:bCs/>
          <w:szCs w:val="24"/>
        </w:rPr>
      </w:pPr>
      <w:r w:rsidRPr="006502A9">
        <w:rPr>
          <w:rFonts w:ascii="Times New Roman" w:hAnsi="Times New Roman"/>
          <w:iCs/>
          <w:szCs w:val="24"/>
        </w:rPr>
        <w:t>Se me señala, que hacer si cambio de idea tanto en aceptar o rechazar el procedimiento, cirugía o terapia propuesta.</w:t>
      </w:r>
    </w:p>
    <w:p w:rsidR="004A1B30" w:rsidRPr="006502A9" w:rsidRDefault="004A1B30" w:rsidP="004A1B30">
      <w:pPr>
        <w:rPr>
          <w:sz w:val="24"/>
          <w:szCs w:val="24"/>
        </w:rPr>
      </w:pPr>
    </w:p>
    <w:p w:rsidR="004A1B30" w:rsidRPr="006502A9" w:rsidRDefault="004A1B30" w:rsidP="004A1B30">
      <w:pPr>
        <w:rPr>
          <w:sz w:val="24"/>
          <w:szCs w:val="24"/>
        </w:rPr>
      </w:pPr>
    </w:p>
    <w:p w:rsidR="004A1B30" w:rsidRPr="006502A9" w:rsidRDefault="004A1B30" w:rsidP="004A1B30">
      <w:pPr>
        <w:rPr>
          <w:sz w:val="24"/>
          <w:szCs w:val="24"/>
        </w:rPr>
      </w:pPr>
    </w:p>
    <w:p w:rsidR="004A1B30" w:rsidRPr="006502A9" w:rsidRDefault="004A1B30" w:rsidP="004A1B30">
      <w:pPr>
        <w:rPr>
          <w:sz w:val="24"/>
          <w:szCs w:val="24"/>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p w:rsidR="004A1B30" w:rsidRDefault="004A1B30" w:rsidP="004A1B30">
      <w:pPr>
        <w:rPr>
          <w:sz w:val="18"/>
          <w:szCs w:val="18"/>
        </w:rPr>
      </w:pPr>
    </w:p>
    <w:sectPr w:rsidR="004A1B30" w:rsidSect="009236EC">
      <w:pgSz w:w="12240" w:h="15840" w:code="1"/>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8F5C92"/>
    <w:multiLevelType w:val="hybridMultilevel"/>
    <w:tmpl w:val="311088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658B4673"/>
    <w:multiLevelType w:val="hybridMultilevel"/>
    <w:tmpl w:val="FC18E8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D4BE4"/>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00B4"/>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43613"/>
    <w:rsid w:val="0047139E"/>
    <w:rsid w:val="00480765"/>
    <w:rsid w:val="00483DEB"/>
    <w:rsid w:val="004A0AB1"/>
    <w:rsid w:val="004A0CDF"/>
    <w:rsid w:val="004A1B30"/>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48C5"/>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2A9"/>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69D9"/>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C7F9C"/>
    <w:rsid w:val="008E4B08"/>
    <w:rsid w:val="008E4DA0"/>
    <w:rsid w:val="008F3B9C"/>
    <w:rsid w:val="008F4D4A"/>
    <w:rsid w:val="00910544"/>
    <w:rsid w:val="0091613F"/>
    <w:rsid w:val="009179BA"/>
    <w:rsid w:val="009236EC"/>
    <w:rsid w:val="0093002B"/>
    <w:rsid w:val="00931254"/>
    <w:rsid w:val="00940343"/>
    <w:rsid w:val="00940566"/>
    <w:rsid w:val="0094481E"/>
    <w:rsid w:val="00953311"/>
    <w:rsid w:val="00957BDB"/>
    <w:rsid w:val="009714DE"/>
    <w:rsid w:val="0097439C"/>
    <w:rsid w:val="00977916"/>
    <w:rsid w:val="009841A6"/>
    <w:rsid w:val="009847DC"/>
    <w:rsid w:val="00985E75"/>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1880"/>
    <w:rsid w:val="00A920CA"/>
    <w:rsid w:val="00A9529F"/>
    <w:rsid w:val="00AB6E0A"/>
    <w:rsid w:val="00AB76BC"/>
    <w:rsid w:val="00AC53F7"/>
    <w:rsid w:val="00AE72F6"/>
    <w:rsid w:val="00AF069E"/>
    <w:rsid w:val="00AF3C6F"/>
    <w:rsid w:val="00AF4FB8"/>
    <w:rsid w:val="00AF6C99"/>
    <w:rsid w:val="00B01D3B"/>
    <w:rsid w:val="00B032A9"/>
    <w:rsid w:val="00B112EA"/>
    <w:rsid w:val="00B23DCC"/>
    <w:rsid w:val="00B26D89"/>
    <w:rsid w:val="00B33612"/>
    <w:rsid w:val="00B3755B"/>
    <w:rsid w:val="00B54479"/>
    <w:rsid w:val="00B63B4C"/>
    <w:rsid w:val="00B67A19"/>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CF7C9F"/>
    <w:rsid w:val="00D0183E"/>
    <w:rsid w:val="00D05F31"/>
    <w:rsid w:val="00D20A43"/>
    <w:rsid w:val="00D20FA7"/>
    <w:rsid w:val="00D2476B"/>
    <w:rsid w:val="00D27238"/>
    <w:rsid w:val="00D52A9A"/>
    <w:rsid w:val="00D636C4"/>
    <w:rsid w:val="00D64F2C"/>
    <w:rsid w:val="00D6527C"/>
    <w:rsid w:val="00D7040F"/>
    <w:rsid w:val="00D73547"/>
    <w:rsid w:val="00D753B6"/>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94E41"/>
    <w:rsid w:val="00EB348B"/>
    <w:rsid w:val="00EC49FA"/>
    <w:rsid w:val="00ED0EB4"/>
    <w:rsid w:val="00ED2AD0"/>
    <w:rsid w:val="00EF099B"/>
    <w:rsid w:val="00F07D77"/>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4A1B30"/>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4A1B30"/>
    <w:rPr>
      <w:rFonts w:ascii="Arial" w:eastAsia="Calibri" w:hAnsi="Arial"/>
      <w:sz w:val="24"/>
      <w:lang w:val="es-ES" w:eastAsia="es-ES"/>
    </w:rPr>
  </w:style>
  <w:style w:type="character" w:styleId="Hipervnculo">
    <w:name w:val="Hyperlink"/>
    <w:unhideWhenUsed/>
    <w:rsid w:val="006502A9"/>
    <w:rPr>
      <w:color w:val="0000FF"/>
      <w:u w:val="single"/>
    </w:rPr>
  </w:style>
  <w:style w:type="paragraph" w:styleId="Subttulo">
    <w:name w:val="Subtitle"/>
    <w:basedOn w:val="Normal"/>
    <w:next w:val="Normal"/>
    <w:link w:val="SubttuloCar"/>
    <w:qFormat/>
    <w:rsid w:val="006502A9"/>
    <w:pPr>
      <w:spacing w:after="60" w:line="276" w:lineRule="auto"/>
      <w:jc w:val="center"/>
      <w:outlineLvl w:val="1"/>
    </w:pPr>
    <w:rPr>
      <w:rFonts w:ascii="Cambria" w:hAnsi="Cambria"/>
      <w:sz w:val="24"/>
      <w:szCs w:val="24"/>
      <w:lang w:val="es-CL" w:eastAsia="en-US"/>
    </w:rPr>
  </w:style>
  <w:style w:type="character" w:customStyle="1" w:styleId="SubttuloCar">
    <w:name w:val="Subtítulo Car"/>
    <w:basedOn w:val="Fuentedeprrafopredeter"/>
    <w:link w:val="Subttulo"/>
    <w:rsid w:val="006502A9"/>
    <w:rPr>
      <w:rFonts w:ascii="Cambria" w:hAnsi="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4A1B30"/>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4A1B30"/>
    <w:rPr>
      <w:rFonts w:ascii="Arial" w:eastAsia="Calibri" w:hAnsi="Arial"/>
      <w:sz w:val="24"/>
      <w:lang w:val="es-ES" w:eastAsia="es-ES"/>
    </w:rPr>
  </w:style>
  <w:style w:type="character" w:styleId="Hipervnculo">
    <w:name w:val="Hyperlink"/>
    <w:unhideWhenUsed/>
    <w:rsid w:val="006502A9"/>
    <w:rPr>
      <w:color w:val="0000FF"/>
      <w:u w:val="single"/>
    </w:rPr>
  </w:style>
  <w:style w:type="paragraph" w:styleId="Subttulo">
    <w:name w:val="Subtitle"/>
    <w:basedOn w:val="Normal"/>
    <w:next w:val="Normal"/>
    <w:link w:val="SubttuloCar"/>
    <w:qFormat/>
    <w:rsid w:val="006502A9"/>
    <w:pPr>
      <w:spacing w:after="60" w:line="276" w:lineRule="auto"/>
      <w:jc w:val="center"/>
      <w:outlineLvl w:val="1"/>
    </w:pPr>
    <w:rPr>
      <w:rFonts w:ascii="Cambria" w:hAnsi="Cambria"/>
      <w:sz w:val="24"/>
      <w:szCs w:val="24"/>
      <w:lang w:val="es-CL" w:eastAsia="en-US"/>
    </w:rPr>
  </w:style>
  <w:style w:type="character" w:customStyle="1" w:styleId="SubttuloCar">
    <w:name w:val="Subtítulo Car"/>
    <w:basedOn w:val="Fuentedeprrafopredeter"/>
    <w:link w:val="Subttulo"/>
    <w:rsid w:val="006502A9"/>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6</cp:revision>
  <cp:lastPrinted>2013-09-25T15:54:00Z</cp:lastPrinted>
  <dcterms:created xsi:type="dcterms:W3CDTF">2017-09-20T19:44:00Z</dcterms:created>
  <dcterms:modified xsi:type="dcterms:W3CDTF">2021-06-07T20:16:00Z</dcterms:modified>
</cp:coreProperties>
</file>