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11" w:rsidRPr="006D0539" w:rsidRDefault="00E94311" w:rsidP="00E94311">
      <w:pPr>
        <w:rPr>
          <w:b/>
          <w:color w:val="000080"/>
          <w:sz w:val="14"/>
          <w:szCs w:val="14"/>
        </w:rPr>
      </w:pPr>
    </w:p>
    <w:p w:rsidR="00E94311" w:rsidRPr="00F77D45" w:rsidRDefault="00E94311" w:rsidP="00E94311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10ECAE7A" wp14:editId="62EE43ED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311" w:rsidRDefault="00E94311" w:rsidP="00E94311">
      <w:pPr>
        <w:tabs>
          <w:tab w:val="center" w:pos="4419"/>
          <w:tab w:val="left" w:pos="4956"/>
        </w:tabs>
        <w:jc w:val="center"/>
        <w:rPr>
          <w:b/>
          <w:sz w:val="24"/>
          <w:szCs w:val="24"/>
          <w:u w:val="single"/>
        </w:rPr>
      </w:pPr>
    </w:p>
    <w:p w:rsidR="00E94311" w:rsidRDefault="00E94311" w:rsidP="00E94311">
      <w:pPr>
        <w:jc w:val="center"/>
        <w:rPr>
          <w:b/>
          <w:sz w:val="24"/>
          <w:szCs w:val="24"/>
          <w:u w:val="single"/>
        </w:rPr>
      </w:pPr>
    </w:p>
    <w:p w:rsidR="00E94311" w:rsidRDefault="00E94311" w:rsidP="00E94311">
      <w:pPr>
        <w:jc w:val="center"/>
        <w:rPr>
          <w:b/>
          <w:sz w:val="24"/>
          <w:szCs w:val="24"/>
          <w:u w:val="single"/>
        </w:rPr>
      </w:pPr>
      <w:r w:rsidRPr="005D3B98">
        <w:rPr>
          <w:b/>
          <w:sz w:val="24"/>
          <w:szCs w:val="24"/>
          <w:u w:val="single"/>
        </w:rPr>
        <w:t xml:space="preserve">INFORMACIÓN PARA PACIENTES: </w:t>
      </w:r>
    </w:p>
    <w:p w:rsidR="00E94311" w:rsidRPr="005D3B98" w:rsidRDefault="00E94311" w:rsidP="00E94311">
      <w:pPr>
        <w:jc w:val="center"/>
        <w:rPr>
          <w:b/>
          <w:sz w:val="24"/>
          <w:szCs w:val="24"/>
          <w:u w:val="single"/>
        </w:rPr>
      </w:pPr>
      <w:r w:rsidRPr="005D3B98">
        <w:rPr>
          <w:b/>
          <w:sz w:val="24"/>
          <w:szCs w:val="24"/>
          <w:u w:val="single"/>
        </w:rPr>
        <w:t>“</w:t>
      </w:r>
      <w:r w:rsidRPr="001223F1">
        <w:rPr>
          <w:b/>
          <w:sz w:val="24"/>
          <w:szCs w:val="24"/>
          <w:u w:val="single"/>
        </w:rPr>
        <w:t>PSEUDOARTROSIS ASEPTICA</w:t>
      </w:r>
      <w:r w:rsidRPr="005D3B98">
        <w:rPr>
          <w:b/>
          <w:sz w:val="24"/>
          <w:szCs w:val="24"/>
          <w:u w:val="single"/>
        </w:rPr>
        <w:t>”</w:t>
      </w:r>
    </w:p>
    <w:p w:rsidR="00E94311" w:rsidRDefault="00E94311" w:rsidP="00E94311">
      <w:pPr>
        <w:pStyle w:val="Sinespaciado"/>
      </w:pPr>
    </w:p>
    <w:p w:rsidR="00E94311" w:rsidRPr="00B638CF" w:rsidRDefault="00E94311" w:rsidP="00E94311">
      <w:pPr>
        <w:pStyle w:val="Sinespaciado"/>
        <w:rPr>
          <w:rFonts w:ascii="Times New Roman" w:hAnsi="Times New Roman"/>
          <w:sz w:val="24"/>
          <w:szCs w:val="24"/>
        </w:rPr>
      </w:pPr>
    </w:p>
    <w:p w:rsidR="00623B78" w:rsidRDefault="00623B78" w:rsidP="00623B78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623B78" w:rsidRDefault="00623B78" w:rsidP="00623B78">
      <w:pPr>
        <w:jc w:val="both"/>
        <w:rPr>
          <w:sz w:val="24"/>
        </w:rPr>
      </w:pPr>
    </w:p>
    <w:p w:rsidR="00623B78" w:rsidRDefault="00623B78" w:rsidP="00623B78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E94311" w:rsidRDefault="00E94311" w:rsidP="00E94311">
      <w:pPr>
        <w:tabs>
          <w:tab w:val="left" w:pos="7350"/>
        </w:tabs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BE6E36" w:rsidRPr="00E94311" w:rsidRDefault="00BE6E36" w:rsidP="00E94311">
      <w:pPr>
        <w:tabs>
          <w:tab w:val="left" w:pos="7350"/>
        </w:tabs>
        <w:spacing w:line="360" w:lineRule="auto"/>
        <w:rPr>
          <w:b/>
          <w:sz w:val="24"/>
          <w:szCs w:val="24"/>
        </w:rPr>
      </w:pPr>
      <w:r w:rsidRPr="00E94311">
        <w:rPr>
          <w:b/>
          <w:sz w:val="24"/>
          <w:szCs w:val="24"/>
        </w:rPr>
        <w:t>Objetivos del procedimiento:</w:t>
      </w:r>
    </w:p>
    <w:p w:rsidR="00EA0695" w:rsidRPr="00E94311" w:rsidRDefault="00EA0695" w:rsidP="00200E8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El propósito principal de la intervención es tratar la falta de consolidación de una fractura que tras un periodo</w:t>
      </w:r>
      <w:r w:rsidR="009F4BDF" w:rsidRPr="00E94311">
        <w:rPr>
          <w:color w:val="000000"/>
          <w:sz w:val="24"/>
          <w:szCs w:val="24"/>
          <w:lang w:val="es-CL" w:eastAsia="es-CL"/>
        </w:rPr>
        <w:t xml:space="preserve"> </w:t>
      </w:r>
      <w:r w:rsidRPr="00E94311">
        <w:rPr>
          <w:color w:val="000000"/>
          <w:sz w:val="24"/>
          <w:szCs w:val="24"/>
          <w:lang w:val="es-CL" w:eastAsia="es-CL"/>
        </w:rPr>
        <w:t>prolongado de tratamiento no ha conseguido la reparación ósea.</w:t>
      </w:r>
    </w:p>
    <w:p w:rsidR="00BE6E36" w:rsidRPr="00E94311" w:rsidRDefault="00BE6E36" w:rsidP="00200E8F">
      <w:pPr>
        <w:jc w:val="both"/>
        <w:rPr>
          <w:sz w:val="24"/>
          <w:szCs w:val="24"/>
        </w:rPr>
      </w:pPr>
    </w:p>
    <w:p w:rsidR="00BE6E36" w:rsidRPr="00E94311" w:rsidRDefault="00BE6E36" w:rsidP="00200E8F">
      <w:pPr>
        <w:jc w:val="both"/>
        <w:rPr>
          <w:b/>
          <w:sz w:val="24"/>
          <w:szCs w:val="24"/>
        </w:rPr>
      </w:pPr>
      <w:r w:rsidRPr="00E94311">
        <w:rPr>
          <w:b/>
          <w:sz w:val="24"/>
          <w:szCs w:val="24"/>
        </w:rPr>
        <w:t>Descripción del procedimiento:</w:t>
      </w:r>
    </w:p>
    <w:p w:rsidR="00EA0695" w:rsidRPr="00E94311" w:rsidRDefault="00EA0695" w:rsidP="00200E8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La intervención consiste en proporcionar las condiciones para permitir la consolidación de la fractura. Puede</w:t>
      </w:r>
      <w:r w:rsidR="009F4BDF" w:rsidRPr="00E94311">
        <w:rPr>
          <w:color w:val="000000"/>
          <w:sz w:val="24"/>
          <w:szCs w:val="24"/>
          <w:lang w:val="es-CL" w:eastAsia="es-CL"/>
        </w:rPr>
        <w:t xml:space="preserve"> </w:t>
      </w:r>
      <w:r w:rsidRPr="00E94311">
        <w:rPr>
          <w:color w:val="000000"/>
          <w:sz w:val="24"/>
          <w:szCs w:val="24"/>
          <w:lang w:val="es-CL" w:eastAsia="es-CL"/>
        </w:rPr>
        <w:t>ser preciso el aporte de injerto óseo (procedente del banco o del propio paciente), el uso de dispositivos metálicos para estabilizar el hueso (tornillos, placas, clavos o fijadores externos) y, eventualmente, el abordaje del foco de fractura.</w:t>
      </w:r>
    </w:p>
    <w:p w:rsidR="00EA0695" w:rsidRPr="00E94311" w:rsidRDefault="00EA0695" w:rsidP="009F4BD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La intervención puede precisar anestesia, cuyo tipo y modalidad serán valoradas por el Servicio de Anestesia</w:t>
      </w:r>
      <w:r w:rsidR="009F4BDF" w:rsidRPr="00E94311">
        <w:rPr>
          <w:color w:val="000000"/>
          <w:sz w:val="24"/>
          <w:szCs w:val="24"/>
          <w:lang w:val="es-CL" w:eastAsia="es-CL"/>
        </w:rPr>
        <w:t xml:space="preserve"> </w:t>
      </w:r>
      <w:r w:rsidRPr="00E94311">
        <w:rPr>
          <w:color w:val="000000"/>
          <w:sz w:val="24"/>
          <w:szCs w:val="24"/>
          <w:lang w:val="es-CL" w:eastAsia="es-CL"/>
        </w:rPr>
        <w:t>y Reanimación.</w:t>
      </w:r>
    </w:p>
    <w:p w:rsidR="00EA0695" w:rsidRPr="00E94311" w:rsidRDefault="00EA0695" w:rsidP="009F4BDF">
      <w:pPr>
        <w:spacing w:line="360" w:lineRule="auto"/>
        <w:jc w:val="both"/>
        <w:rPr>
          <w:b/>
          <w:sz w:val="24"/>
          <w:szCs w:val="24"/>
        </w:rPr>
      </w:pPr>
    </w:p>
    <w:p w:rsidR="00BE6E36" w:rsidRPr="00E94311" w:rsidRDefault="00BE6E36" w:rsidP="00200E8F">
      <w:pPr>
        <w:jc w:val="both"/>
        <w:rPr>
          <w:b/>
          <w:sz w:val="24"/>
          <w:szCs w:val="24"/>
        </w:rPr>
      </w:pPr>
      <w:r w:rsidRPr="00E94311">
        <w:rPr>
          <w:b/>
          <w:sz w:val="24"/>
          <w:szCs w:val="24"/>
        </w:rPr>
        <w:t>Riesgos del procedimiento:</w:t>
      </w:r>
    </w:p>
    <w:p w:rsidR="00EA0695" w:rsidRPr="00E94311" w:rsidRDefault="00EA0695" w:rsidP="00200E8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Toda intervención quirúrgica, tanto por la propia técnica operatoria como por la situación vital de cada paciente</w:t>
      </w:r>
      <w:r w:rsidR="009F4BDF" w:rsidRPr="00E94311">
        <w:rPr>
          <w:color w:val="000000"/>
          <w:sz w:val="24"/>
          <w:szCs w:val="24"/>
          <w:lang w:val="es-CL" w:eastAsia="es-CL"/>
        </w:rPr>
        <w:t xml:space="preserve"> </w:t>
      </w:r>
      <w:r w:rsidRPr="00E94311">
        <w:rPr>
          <w:color w:val="000000"/>
          <w:sz w:val="24"/>
          <w:szCs w:val="24"/>
          <w:lang w:val="es-CL" w:eastAsia="es-CL"/>
        </w:rPr>
        <w:t>(diabetes, cardiopatía, hipertensión, edad avanzada, anemia, obesidad...), lleva implícitas una serie de</w:t>
      </w:r>
      <w:r w:rsidR="009F4BDF" w:rsidRPr="00E94311">
        <w:rPr>
          <w:color w:val="000000"/>
          <w:sz w:val="24"/>
          <w:szCs w:val="24"/>
          <w:lang w:val="es-CL" w:eastAsia="es-CL"/>
        </w:rPr>
        <w:t xml:space="preserve"> </w:t>
      </w:r>
      <w:r w:rsidRPr="00E94311">
        <w:rPr>
          <w:color w:val="000000"/>
          <w:sz w:val="24"/>
          <w:szCs w:val="24"/>
          <w:lang w:val="es-CL" w:eastAsia="es-CL"/>
        </w:rPr>
        <w:t>complicaciones, comunes y potencialmente serias, que podrían requerir tratamientos complementarios, tanto</w:t>
      </w:r>
      <w:r w:rsidR="009F4BDF" w:rsidRPr="00E94311">
        <w:rPr>
          <w:color w:val="000000"/>
          <w:sz w:val="24"/>
          <w:szCs w:val="24"/>
          <w:lang w:val="es-CL" w:eastAsia="es-CL"/>
        </w:rPr>
        <w:t xml:space="preserve"> </w:t>
      </w:r>
      <w:r w:rsidRPr="00E94311">
        <w:rPr>
          <w:color w:val="000000"/>
          <w:sz w:val="24"/>
          <w:szCs w:val="24"/>
          <w:lang w:val="es-CL" w:eastAsia="es-CL"/>
        </w:rPr>
        <w:t>médicos como quirúrgicos y que, en un mínimo porcentaje de casos, pueden ser causa de muerte.</w:t>
      </w:r>
    </w:p>
    <w:p w:rsidR="00EA0695" w:rsidRPr="00E94311" w:rsidRDefault="00EA0695" w:rsidP="009F4BD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Las complicaciones de la intervención quirúrgica para TRATAMIENTO DE PSEUDARTROSIS ASÉPTICA pueden ser:</w:t>
      </w:r>
    </w:p>
    <w:p w:rsidR="00EA0695" w:rsidRPr="00E94311" w:rsidRDefault="00EA0695" w:rsidP="009F4BD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a) Infección de la herida quirúrgica.</w:t>
      </w:r>
    </w:p>
    <w:p w:rsidR="00EA0695" w:rsidRPr="00E94311" w:rsidRDefault="00EA0695" w:rsidP="009F4BD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b) Lesión vascular.</w:t>
      </w:r>
    </w:p>
    <w:p w:rsidR="00EA0695" w:rsidRPr="00E94311" w:rsidRDefault="00EA0695" w:rsidP="009F4BD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c) Lesión o afectación de algún tronco nervioso que pudiera causar, temporal o definitivamente, trastornos</w:t>
      </w:r>
      <w:r w:rsidR="009F4BDF" w:rsidRPr="00E94311">
        <w:rPr>
          <w:color w:val="000000"/>
          <w:sz w:val="24"/>
          <w:szCs w:val="24"/>
          <w:lang w:val="es-CL" w:eastAsia="es-CL"/>
        </w:rPr>
        <w:t xml:space="preserve"> </w:t>
      </w:r>
      <w:r w:rsidRPr="00E94311">
        <w:rPr>
          <w:color w:val="000000"/>
          <w:sz w:val="24"/>
          <w:szCs w:val="24"/>
          <w:lang w:val="es-CL" w:eastAsia="es-CL"/>
        </w:rPr>
        <w:t>sensitivos o motores.</w:t>
      </w:r>
    </w:p>
    <w:p w:rsidR="00EA0695" w:rsidRPr="00E94311" w:rsidRDefault="00EA0695" w:rsidP="009F4BD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d) Rotura o estallido del hueso que se manipula durante la intervención.</w:t>
      </w:r>
    </w:p>
    <w:p w:rsidR="00EA0695" w:rsidRPr="00E94311" w:rsidRDefault="00EA0695" w:rsidP="009F4BD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e) Aflojamiento o rotura del material implantado.</w:t>
      </w:r>
    </w:p>
    <w:p w:rsidR="00EA0695" w:rsidRPr="00E94311" w:rsidRDefault="00EA0695" w:rsidP="009F4BD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f) Flebitis o tromboflebitis que podrían provocar embolismo pulmonar y muerte.</w:t>
      </w:r>
    </w:p>
    <w:p w:rsidR="00EA0695" w:rsidRPr="00E94311" w:rsidRDefault="00EA0695" w:rsidP="009F4BD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g) Embolia grasa.</w:t>
      </w:r>
    </w:p>
    <w:p w:rsidR="00EA0695" w:rsidRPr="00E94311" w:rsidRDefault="00EA0695" w:rsidP="009F4BD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h) Rigidez o limitación funcional articular.</w:t>
      </w:r>
    </w:p>
    <w:p w:rsidR="00EA0695" w:rsidRPr="00E94311" w:rsidRDefault="00EA0695" w:rsidP="009F4BD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i) Fracaso en la consecución de la consolidación ósea que pueda requerir intervenciones adicionales.</w:t>
      </w:r>
    </w:p>
    <w:p w:rsidR="00EA0695" w:rsidRPr="00E94311" w:rsidRDefault="00EA0695" w:rsidP="009F4BD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j) Dolor residual.</w:t>
      </w:r>
    </w:p>
    <w:p w:rsidR="00EA0695" w:rsidRPr="00E94311" w:rsidRDefault="00EA0695" w:rsidP="009F4BD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k) Síndrome compartimenta.</w:t>
      </w:r>
    </w:p>
    <w:p w:rsidR="00EA0695" w:rsidRPr="00E94311" w:rsidRDefault="00EA0695" w:rsidP="009F4BD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l) Distrofia simpático-refleja.</w:t>
      </w:r>
    </w:p>
    <w:p w:rsidR="00EA0695" w:rsidRPr="00E94311" w:rsidRDefault="00EA0695" w:rsidP="009F4BD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m) Acortamiento, alargamiento o defectos de rotación del miembro intervenido.</w:t>
      </w:r>
    </w:p>
    <w:p w:rsidR="00EA0695" w:rsidRPr="00E94311" w:rsidRDefault="00EA0695" w:rsidP="009F4BD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n) Complicaciones en la zona dadora del injerto óseo, tales como hematomas, infecciones y fracturas óseas.</w:t>
      </w:r>
    </w:p>
    <w:p w:rsidR="00BE6E36" w:rsidRDefault="00BE6E36" w:rsidP="009F4BDF">
      <w:pPr>
        <w:spacing w:line="360" w:lineRule="auto"/>
        <w:jc w:val="both"/>
        <w:rPr>
          <w:sz w:val="24"/>
          <w:szCs w:val="24"/>
          <w:lang w:val="es-CL"/>
        </w:rPr>
      </w:pPr>
    </w:p>
    <w:p w:rsidR="00E94311" w:rsidRPr="00E94311" w:rsidRDefault="00E94311" w:rsidP="009F4BDF">
      <w:pPr>
        <w:spacing w:line="360" w:lineRule="auto"/>
        <w:jc w:val="both"/>
        <w:rPr>
          <w:sz w:val="24"/>
          <w:szCs w:val="24"/>
          <w:lang w:val="es-CL"/>
        </w:rPr>
      </w:pPr>
    </w:p>
    <w:p w:rsidR="00BE6E36" w:rsidRPr="00E94311" w:rsidRDefault="00BE6E36" w:rsidP="00200E8F">
      <w:pPr>
        <w:jc w:val="both"/>
        <w:rPr>
          <w:b/>
          <w:sz w:val="24"/>
          <w:szCs w:val="24"/>
        </w:rPr>
      </w:pPr>
      <w:r w:rsidRPr="00E94311">
        <w:rPr>
          <w:b/>
          <w:sz w:val="24"/>
          <w:szCs w:val="24"/>
        </w:rPr>
        <w:t>Alternativas al procedimiento propuesto:</w:t>
      </w:r>
    </w:p>
    <w:p w:rsidR="00EA0695" w:rsidRPr="00E94311" w:rsidRDefault="00EA0695" w:rsidP="00200E8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E94311">
        <w:rPr>
          <w:color w:val="000000"/>
          <w:sz w:val="24"/>
          <w:szCs w:val="24"/>
          <w:lang w:val="es-CL" w:eastAsia="es-CL"/>
        </w:rPr>
        <w:t>No existen.</w:t>
      </w:r>
    </w:p>
    <w:p w:rsidR="00EA0695" w:rsidRPr="00E94311" w:rsidRDefault="00EA0695" w:rsidP="009F4BD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</w:p>
    <w:p w:rsidR="00BE6E36" w:rsidRPr="00E94311" w:rsidRDefault="00BE6E36" w:rsidP="00200E8F">
      <w:pPr>
        <w:jc w:val="both"/>
        <w:rPr>
          <w:b/>
          <w:sz w:val="24"/>
          <w:szCs w:val="24"/>
        </w:rPr>
      </w:pPr>
      <w:r w:rsidRPr="00E94311">
        <w:rPr>
          <w:b/>
          <w:sz w:val="24"/>
          <w:szCs w:val="24"/>
        </w:rPr>
        <w:t>Consecuencias de no aceptar el procedimiento:</w:t>
      </w:r>
    </w:p>
    <w:p w:rsidR="009F4BDF" w:rsidRPr="00E94311" w:rsidRDefault="007C6230" w:rsidP="00200E8F">
      <w:pPr>
        <w:rPr>
          <w:sz w:val="24"/>
          <w:szCs w:val="24"/>
        </w:rPr>
      </w:pPr>
      <w:r w:rsidRPr="00E94311">
        <w:rPr>
          <w:sz w:val="24"/>
          <w:szCs w:val="24"/>
        </w:rPr>
        <w:t xml:space="preserve">Persistencia de dolor, deformidad de la zona, aumento de proceso </w:t>
      </w:r>
      <w:proofErr w:type="gramStart"/>
      <w:r w:rsidRPr="00E94311">
        <w:rPr>
          <w:sz w:val="24"/>
          <w:szCs w:val="24"/>
        </w:rPr>
        <w:t>séptico ,</w:t>
      </w:r>
      <w:proofErr w:type="gramEnd"/>
      <w:r w:rsidRPr="00E94311">
        <w:rPr>
          <w:sz w:val="24"/>
          <w:szCs w:val="24"/>
        </w:rPr>
        <w:t xml:space="preserve"> atrofia muscular, artrosis de las articulaciones vecinas  por transferencia  de carga no adecuada en dichas articulaciones </w:t>
      </w:r>
    </w:p>
    <w:p w:rsidR="00E94311" w:rsidRDefault="00E94311" w:rsidP="00200E8F">
      <w:pPr>
        <w:rPr>
          <w:b/>
          <w:sz w:val="24"/>
          <w:szCs w:val="24"/>
        </w:rPr>
      </w:pPr>
    </w:p>
    <w:p w:rsidR="00BE6E36" w:rsidRPr="00E94311" w:rsidRDefault="00BE6E36" w:rsidP="00200E8F">
      <w:pPr>
        <w:rPr>
          <w:b/>
          <w:sz w:val="24"/>
          <w:szCs w:val="24"/>
        </w:rPr>
      </w:pPr>
      <w:r w:rsidRPr="00E94311">
        <w:rPr>
          <w:b/>
          <w:sz w:val="24"/>
          <w:szCs w:val="24"/>
        </w:rPr>
        <w:t>Mecanismo para solicitar más información:</w:t>
      </w:r>
    </w:p>
    <w:p w:rsidR="009F4BDF" w:rsidRPr="00E94311" w:rsidRDefault="007C6230" w:rsidP="00200E8F">
      <w:pPr>
        <w:rPr>
          <w:sz w:val="24"/>
          <w:szCs w:val="24"/>
        </w:rPr>
      </w:pPr>
      <w:r w:rsidRPr="00E94311">
        <w:rPr>
          <w:sz w:val="24"/>
          <w:szCs w:val="24"/>
        </w:rPr>
        <w:t>Su médico tratante, jefe de servicio</w:t>
      </w:r>
      <w:r w:rsidR="00250AE9" w:rsidRPr="00E94311">
        <w:rPr>
          <w:sz w:val="24"/>
          <w:szCs w:val="24"/>
        </w:rPr>
        <w:t>.</w:t>
      </w:r>
    </w:p>
    <w:p w:rsidR="00EA0695" w:rsidRPr="00E94311" w:rsidRDefault="00EA0695" w:rsidP="00EA0695">
      <w:pPr>
        <w:autoSpaceDE w:val="0"/>
        <w:autoSpaceDN w:val="0"/>
        <w:adjustRightInd w:val="0"/>
        <w:rPr>
          <w:rFonts w:ascii="ZurichBT-Roman" w:hAnsi="ZurichBT-Roman" w:cs="ZurichBT-Roman"/>
          <w:color w:val="000000"/>
          <w:sz w:val="24"/>
          <w:szCs w:val="24"/>
          <w:lang w:val="es-CL" w:eastAsia="es-CL"/>
        </w:rPr>
      </w:pPr>
      <w:r w:rsidRPr="00E94311">
        <w:rPr>
          <w:rFonts w:ascii="ZurichBT-Roman" w:hAnsi="ZurichBT-Roman" w:cs="ZurichBT-Roman"/>
          <w:color w:val="000000"/>
          <w:sz w:val="24"/>
          <w:szCs w:val="24"/>
          <w:lang w:val="es-CL" w:eastAsia="es-CL"/>
        </w:rPr>
        <w:t xml:space="preserve"> </w:t>
      </w:r>
    </w:p>
    <w:p w:rsidR="00E24EA2" w:rsidRPr="00E94311" w:rsidRDefault="00E24EA2" w:rsidP="00E24EA2">
      <w:pPr>
        <w:pStyle w:val="Default"/>
      </w:pPr>
      <w:r w:rsidRPr="00E94311">
        <w:rPr>
          <w:b/>
          <w:bCs/>
        </w:rPr>
        <w:t xml:space="preserve">Revocabilidad </w:t>
      </w:r>
    </w:p>
    <w:p w:rsidR="00E24EA2" w:rsidRPr="00E94311" w:rsidRDefault="00E24EA2" w:rsidP="00E94311">
      <w:pPr>
        <w:pStyle w:val="Textoindependiente"/>
        <w:rPr>
          <w:szCs w:val="24"/>
        </w:rPr>
      </w:pPr>
      <w:r w:rsidRPr="00E94311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E24EA2" w:rsidRPr="00E94311" w:rsidRDefault="00E24EA2" w:rsidP="00E24EA2">
      <w:pPr>
        <w:rPr>
          <w:sz w:val="24"/>
          <w:szCs w:val="24"/>
        </w:rPr>
      </w:pPr>
    </w:p>
    <w:p w:rsidR="00E24EA2" w:rsidRPr="00E94311" w:rsidRDefault="00E24EA2" w:rsidP="00E24EA2">
      <w:pPr>
        <w:jc w:val="both"/>
        <w:rPr>
          <w:rFonts w:ascii="Arial" w:hAnsi="Arial" w:cs="Arial"/>
          <w:sz w:val="24"/>
          <w:szCs w:val="24"/>
        </w:rPr>
      </w:pPr>
    </w:p>
    <w:p w:rsidR="00E24EA2" w:rsidRPr="00E94311" w:rsidRDefault="00E24EA2" w:rsidP="00E24EA2">
      <w:pPr>
        <w:jc w:val="both"/>
        <w:rPr>
          <w:sz w:val="24"/>
          <w:szCs w:val="24"/>
        </w:rPr>
      </w:pPr>
    </w:p>
    <w:p w:rsidR="00E24EA2" w:rsidRPr="00E94311" w:rsidRDefault="00E24EA2" w:rsidP="00E24EA2">
      <w:pPr>
        <w:rPr>
          <w:rFonts w:ascii="Arial" w:hAnsi="Arial" w:cs="Arial"/>
          <w:sz w:val="24"/>
          <w:szCs w:val="24"/>
        </w:rPr>
      </w:pPr>
    </w:p>
    <w:p w:rsidR="0094481E" w:rsidRPr="00DF5C6E" w:rsidRDefault="0094481E" w:rsidP="00E24EA2">
      <w:pPr>
        <w:rPr>
          <w:rFonts w:ascii="Arial" w:hAnsi="Arial" w:cs="Arial"/>
        </w:rPr>
      </w:pPr>
    </w:p>
    <w:sectPr w:rsidR="0094481E" w:rsidRPr="00DF5C6E" w:rsidSect="001223F1">
      <w:pgSz w:w="12240" w:h="15840" w:code="1"/>
      <w:pgMar w:top="426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urich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23F1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4C92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0E8F"/>
    <w:rsid w:val="00201EEA"/>
    <w:rsid w:val="00203E58"/>
    <w:rsid w:val="002224A5"/>
    <w:rsid w:val="00230CA1"/>
    <w:rsid w:val="00232F6C"/>
    <w:rsid w:val="00243A2B"/>
    <w:rsid w:val="00250AE9"/>
    <w:rsid w:val="00260D52"/>
    <w:rsid w:val="002619E7"/>
    <w:rsid w:val="00263FBD"/>
    <w:rsid w:val="002804E7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B5EFD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94B"/>
    <w:rsid w:val="005E0A76"/>
    <w:rsid w:val="005F17AE"/>
    <w:rsid w:val="005F70DD"/>
    <w:rsid w:val="005F7232"/>
    <w:rsid w:val="0061087E"/>
    <w:rsid w:val="0062097D"/>
    <w:rsid w:val="00623B78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2631"/>
    <w:rsid w:val="006E3D76"/>
    <w:rsid w:val="006F75C4"/>
    <w:rsid w:val="007034E5"/>
    <w:rsid w:val="00707A6E"/>
    <w:rsid w:val="00707FA7"/>
    <w:rsid w:val="00711D79"/>
    <w:rsid w:val="0071583B"/>
    <w:rsid w:val="007175F1"/>
    <w:rsid w:val="00730365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C6230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343"/>
    <w:rsid w:val="00940566"/>
    <w:rsid w:val="0094481E"/>
    <w:rsid w:val="00953311"/>
    <w:rsid w:val="00957BDB"/>
    <w:rsid w:val="009714DE"/>
    <w:rsid w:val="0097439C"/>
    <w:rsid w:val="00977916"/>
    <w:rsid w:val="00986BC3"/>
    <w:rsid w:val="00994BE7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9F4BDF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54506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24EA2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94311"/>
    <w:rsid w:val="00EA0695"/>
    <w:rsid w:val="00EB348B"/>
    <w:rsid w:val="00EC49FA"/>
    <w:rsid w:val="00ED2AD0"/>
    <w:rsid w:val="00EF099B"/>
    <w:rsid w:val="00F07D77"/>
    <w:rsid w:val="00F245C8"/>
    <w:rsid w:val="00F30AE8"/>
    <w:rsid w:val="00F4340E"/>
    <w:rsid w:val="00F93516"/>
    <w:rsid w:val="00FA20D0"/>
    <w:rsid w:val="00FA7DB8"/>
    <w:rsid w:val="00FB078C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24EA2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4EA2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E94311"/>
    <w:rPr>
      <w:u w:val="single"/>
    </w:rPr>
  </w:style>
  <w:style w:type="paragraph" w:styleId="Sinespaciado">
    <w:name w:val="No Spacing"/>
    <w:uiPriority w:val="1"/>
    <w:qFormat/>
    <w:rsid w:val="00E94311"/>
    <w:rPr>
      <w:rFonts w:ascii="Calibri" w:eastAsia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24EA2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4EA2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E94311"/>
    <w:rPr>
      <w:u w:val="single"/>
    </w:rPr>
  </w:style>
  <w:style w:type="paragraph" w:styleId="Sinespaciado">
    <w:name w:val="No Spacing"/>
    <w:uiPriority w:val="1"/>
    <w:qFormat/>
    <w:rsid w:val="00E94311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2013-09-25T17:20:00Z</cp:lastPrinted>
  <dcterms:created xsi:type="dcterms:W3CDTF">2017-09-20T19:47:00Z</dcterms:created>
  <dcterms:modified xsi:type="dcterms:W3CDTF">2021-06-07T20:29:00Z</dcterms:modified>
</cp:coreProperties>
</file>